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C2" w:rsidRPr="002C28A4" w:rsidRDefault="00A15EC2" w:rsidP="002C28A4">
      <w:pPr>
        <w:spacing w:line="320" w:lineRule="exact"/>
        <w:jc w:val="center"/>
        <w:rPr>
          <w:rFonts w:ascii="Times New Roman" w:eastAsia="標楷體" w:hAnsi="Times New Roman" w:cs="Times New Roman"/>
          <w:b/>
          <w:sz w:val="32"/>
          <w:szCs w:val="26"/>
        </w:rPr>
      </w:pPr>
      <w:r w:rsidRPr="002C28A4">
        <w:rPr>
          <w:rFonts w:ascii="Times New Roman" w:eastAsia="標楷體" w:hAnsi="Times New Roman" w:cs="Times New Roman"/>
          <w:b/>
          <w:sz w:val="32"/>
          <w:szCs w:val="26"/>
        </w:rPr>
        <w:t>｢</w:t>
      </w:r>
      <w:r w:rsidR="00AA7F4B">
        <w:rPr>
          <w:rFonts w:ascii="Times New Roman" w:eastAsia="標楷體" w:hAnsi="Times New Roman" w:cs="Times New Roman" w:hint="eastAsia"/>
          <w:b/>
          <w:sz w:val="32"/>
          <w:szCs w:val="26"/>
        </w:rPr>
        <w:t>因循</w:t>
      </w:r>
      <w:r w:rsidR="00256975">
        <w:rPr>
          <w:rFonts w:ascii="Times New Roman" w:eastAsia="標楷體" w:hAnsi="Times New Roman" w:cs="Times New Roman" w:hint="eastAsia"/>
          <w:b/>
          <w:sz w:val="32"/>
          <w:szCs w:val="26"/>
        </w:rPr>
        <w:t>舊</w:t>
      </w:r>
      <w:r w:rsidRPr="002C28A4">
        <w:rPr>
          <w:rFonts w:ascii="Times New Roman" w:eastAsia="標楷體" w:hAnsi="Times New Roman" w:cs="Times New Roman"/>
          <w:b/>
          <w:sz w:val="32"/>
          <w:szCs w:val="26"/>
        </w:rPr>
        <w:t>施政</w:t>
      </w:r>
      <w:r w:rsidR="00256975">
        <w:rPr>
          <w:rFonts w:ascii="Times New Roman" w:eastAsia="標楷體" w:hAnsi="Times New Roman" w:cs="Times New Roman" w:hint="eastAsia"/>
          <w:b/>
          <w:sz w:val="32"/>
          <w:szCs w:val="26"/>
        </w:rPr>
        <w:t>方向</w:t>
      </w:r>
      <w:r w:rsidRPr="002C28A4">
        <w:rPr>
          <w:rFonts w:ascii="Times New Roman" w:eastAsia="標楷體" w:hAnsi="Times New Roman" w:cs="Times New Roman"/>
          <w:b/>
          <w:sz w:val="32"/>
          <w:szCs w:val="26"/>
        </w:rPr>
        <w:t xml:space="preserve">  </w:t>
      </w:r>
      <w:r w:rsidR="00256975">
        <w:rPr>
          <w:rFonts w:ascii="Times New Roman" w:eastAsia="標楷體" w:hAnsi="Times New Roman" w:cs="Times New Roman" w:hint="eastAsia"/>
          <w:b/>
          <w:sz w:val="32"/>
          <w:szCs w:val="26"/>
        </w:rPr>
        <w:t>新</w:t>
      </w:r>
      <w:r w:rsidRPr="002C28A4">
        <w:rPr>
          <w:rFonts w:ascii="Times New Roman" w:eastAsia="標楷體" w:hAnsi="Times New Roman" w:cs="Times New Roman"/>
          <w:b/>
          <w:sz w:val="32"/>
          <w:szCs w:val="26"/>
        </w:rPr>
        <w:t>改革淪為空談｣</w:t>
      </w:r>
    </w:p>
    <w:p w:rsidR="00C16010" w:rsidRPr="002C28A4" w:rsidRDefault="00A15EC2" w:rsidP="002C28A4">
      <w:pPr>
        <w:spacing w:line="320" w:lineRule="exact"/>
        <w:jc w:val="center"/>
        <w:rPr>
          <w:rFonts w:ascii="Times New Roman" w:eastAsia="標楷體" w:hAnsi="Times New Roman" w:cs="Times New Roman"/>
          <w:b/>
          <w:sz w:val="32"/>
          <w:szCs w:val="26"/>
        </w:rPr>
      </w:pPr>
      <w:r w:rsidRPr="002C28A4">
        <w:rPr>
          <w:rFonts w:ascii="Times New Roman" w:eastAsia="標楷體" w:hAnsi="Times New Roman" w:cs="Times New Roman"/>
          <w:b/>
          <w:sz w:val="32"/>
          <w:szCs w:val="26"/>
        </w:rPr>
        <w:t xml:space="preserve">--- </w:t>
      </w:r>
      <w:r w:rsidR="00C16010" w:rsidRPr="002C28A4">
        <w:rPr>
          <w:rFonts w:ascii="Times New Roman" w:eastAsia="標楷體" w:hAnsi="Times New Roman" w:cs="Times New Roman"/>
          <w:b/>
          <w:sz w:val="32"/>
          <w:szCs w:val="26"/>
        </w:rPr>
        <w:t>香港社區組織協會</w:t>
      </w:r>
      <w:r w:rsidRPr="002C28A4">
        <w:rPr>
          <w:rFonts w:ascii="Times New Roman" w:eastAsia="標楷體" w:hAnsi="Times New Roman" w:cs="Times New Roman"/>
          <w:b/>
          <w:sz w:val="32"/>
          <w:szCs w:val="26"/>
        </w:rPr>
        <w:t xml:space="preserve"> </w:t>
      </w:r>
      <w:r w:rsidR="00C16010" w:rsidRPr="002C28A4">
        <w:rPr>
          <w:rFonts w:ascii="Times New Roman" w:eastAsia="標楷體" w:hAnsi="Times New Roman" w:cs="Times New Roman"/>
          <w:b/>
          <w:sz w:val="32"/>
          <w:szCs w:val="26"/>
        </w:rPr>
        <w:t>回應</w:t>
      </w:r>
      <w:r w:rsidR="00C16010" w:rsidRPr="002C28A4">
        <w:rPr>
          <w:rFonts w:ascii="Times New Roman" w:eastAsia="標楷體" w:hAnsi="Times New Roman" w:cs="Times New Roman"/>
          <w:b/>
          <w:sz w:val="32"/>
          <w:szCs w:val="26"/>
        </w:rPr>
        <w:t>2015</w:t>
      </w:r>
      <w:r w:rsidR="00C16010" w:rsidRPr="002C28A4">
        <w:rPr>
          <w:rFonts w:ascii="Times New Roman" w:eastAsia="標楷體" w:hAnsi="Times New Roman" w:cs="Times New Roman"/>
          <w:b/>
          <w:sz w:val="32"/>
          <w:szCs w:val="26"/>
        </w:rPr>
        <w:t>年行政長官施政報告新聞稿</w:t>
      </w:r>
    </w:p>
    <w:p w:rsidR="00C16010" w:rsidRPr="002C28A4" w:rsidRDefault="00C16010" w:rsidP="002C28A4">
      <w:pPr>
        <w:spacing w:line="300" w:lineRule="exact"/>
        <w:jc w:val="both"/>
        <w:rPr>
          <w:rFonts w:ascii="Times New Roman" w:eastAsia="標楷體" w:hAnsi="Times New Roman" w:cs="Times New Roman"/>
          <w:sz w:val="26"/>
          <w:szCs w:val="26"/>
        </w:rPr>
      </w:pPr>
    </w:p>
    <w:p w:rsidR="00C16010" w:rsidRPr="002C28A4" w:rsidRDefault="00C16010" w:rsidP="002C28A4">
      <w:pPr>
        <w:spacing w:line="300" w:lineRule="exact"/>
        <w:ind w:firstLine="480"/>
        <w:jc w:val="both"/>
        <w:rPr>
          <w:rFonts w:ascii="Times New Roman" w:eastAsia="標楷體" w:hAnsi="Times New Roman" w:cs="Times New Roman"/>
          <w:sz w:val="25"/>
          <w:szCs w:val="25"/>
        </w:rPr>
      </w:pPr>
      <w:r w:rsidRPr="002C28A4">
        <w:rPr>
          <w:rFonts w:ascii="Times New Roman" w:eastAsia="標楷體" w:hAnsi="Times New Roman" w:cs="Times New Roman"/>
          <w:sz w:val="25"/>
          <w:szCs w:val="25"/>
        </w:rPr>
        <w:t>行政長官梁振英今</w:t>
      </w:r>
      <w:r w:rsidR="00E87194">
        <w:rPr>
          <w:rFonts w:ascii="Times New Roman" w:eastAsia="標楷體" w:hAnsi="Times New Roman" w:cs="Times New Roman" w:hint="eastAsia"/>
          <w:sz w:val="25"/>
          <w:szCs w:val="25"/>
        </w:rPr>
        <w:t>日</w:t>
      </w:r>
      <w:r w:rsidRPr="002C28A4">
        <w:rPr>
          <w:rFonts w:ascii="Times New Roman" w:eastAsia="標楷體" w:hAnsi="Times New Roman" w:cs="Times New Roman"/>
          <w:sz w:val="25"/>
          <w:szCs w:val="25"/>
        </w:rPr>
        <w:t>(1</w:t>
      </w:r>
      <w:r w:rsidRPr="002C28A4">
        <w:rPr>
          <w:rFonts w:ascii="Times New Roman" w:eastAsia="標楷體" w:hAnsi="Times New Roman" w:cs="Times New Roman"/>
          <w:sz w:val="25"/>
          <w:szCs w:val="25"/>
        </w:rPr>
        <w:t>月</w:t>
      </w:r>
      <w:r w:rsidRPr="002C28A4">
        <w:rPr>
          <w:rFonts w:ascii="Times New Roman" w:eastAsia="標楷體" w:hAnsi="Times New Roman" w:cs="Times New Roman"/>
          <w:sz w:val="25"/>
          <w:szCs w:val="25"/>
        </w:rPr>
        <w:t>14</w:t>
      </w:r>
      <w:r w:rsidRPr="002C28A4">
        <w:rPr>
          <w:rFonts w:ascii="Times New Roman" w:eastAsia="標楷體" w:hAnsi="Times New Roman" w:cs="Times New Roman"/>
          <w:sz w:val="25"/>
          <w:szCs w:val="25"/>
        </w:rPr>
        <w:t>日</w:t>
      </w:r>
      <w:r w:rsidRPr="002C28A4">
        <w:rPr>
          <w:rFonts w:ascii="Times New Roman" w:eastAsia="標楷體" w:hAnsi="Times New Roman" w:cs="Times New Roman"/>
          <w:sz w:val="25"/>
          <w:szCs w:val="25"/>
        </w:rPr>
        <w:t>)</w:t>
      </w:r>
      <w:r w:rsidRPr="002C28A4">
        <w:rPr>
          <w:rFonts w:ascii="Times New Roman" w:eastAsia="標楷體" w:hAnsi="Times New Roman" w:cs="Times New Roman"/>
          <w:sz w:val="25"/>
          <w:szCs w:val="25"/>
        </w:rPr>
        <w:t>公佈其上任後第三份施政報告，</w:t>
      </w:r>
      <w:r w:rsidR="00456D30" w:rsidRPr="002C28A4">
        <w:rPr>
          <w:rFonts w:ascii="Times New Roman" w:eastAsia="標楷體" w:hAnsi="Times New Roman" w:cs="Times New Roman"/>
          <w:sz w:val="25"/>
          <w:szCs w:val="25"/>
        </w:rPr>
        <w:t>報告甫一開始，便強調本港社會機遇當前，指出</w:t>
      </w:r>
      <w:r w:rsidR="00456D30" w:rsidRPr="002C28A4">
        <w:rPr>
          <w:rFonts w:ascii="Times New Roman" w:eastAsia="標楷體" w:hAnsi="Times New Roman" w:cs="Times New Roman"/>
          <w:color w:val="000000"/>
          <w:sz w:val="25"/>
          <w:szCs w:val="25"/>
        </w:rPr>
        <w:t>在經濟問題上，要在發展和停滯之間作抉擇；在民生問題上，要在改革和因循之間作抉擇。整體而言，</w:t>
      </w:r>
      <w:r w:rsidR="00456D30" w:rsidRPr="002C28A4">
        <w:rPr>
          <w:rFonts w:ascii="Times New Roman" w:eastAsia="標楷體" w:hAnsi="Times New Roman" w:cs="Times New Roman"/>
          <w:b/>
          <w:color w:val="000000"/>
          <w:sz w:val="25"/>
          <w:szCs w:val="25"/>
        </w:rPr>
        <w:t>本會認為是次施政報告僅</w:t>
      </w:r>
      <w:r w:rsidR="00C400C4">
        <w:rPr>
          <w:rFonts w:ascii="Times New Roman" w:eastAsia="標楷體" w:hAnsi="Times New Roman" w:cs="Times New Roman" w:hint="eastAsia"/>
          <w:b/>
          <w:color w:val="000000"/>
          <w:sz w:val="25"/>
          <w:szCs w:val="25"/>
        </w:rPr>
        <w:t>沿襲舊</w:t>
      </w:r>
      <w:r w:rsidR="00456D30" w:rsidRPr="002C28A4">
        <w:rPr>
          <w:rFonts w:ascii="Times New Roman" w:eastAsia="標楷體" w:hAnsi="Times New Roman" w:cs="Times New Roman"/>
          <w:b/>
          <w:color w:val="000000"/>
          <w:sz w:val="25"/>
          <w:szCs w:val="25"/>
        </w:rPr>
        <w:t>有施政方向，未有認真思考改革，</w:t>
      </w:r>
      <w:r w:rsidR="00BA7C80" w:rsidRPr="002C28A4">
        <w:rPr>
          <w:rFonts w:ascii="Times New Roman" w:eastAsia="標楷體" w:hAnsi="Times New Roman" w:cs="Times New Roman"/>
          <w:b/>
          <w:color w:val="000000"/>
          <w:sz w:val="25"/>
          <w:szCs w:val="25"/>
        </w:rPr>
        <w:t>發展不足，守舊有餘。</w:t>
      </w:r>
      <w:r w:rsidR="00A04C1B" w:rsidRPr="002C28A4">
        <w:rPr>
          <w:rFonts w:ascii="Times New Roman" w:eastAsia="標楷體" w:hAnsi="Times New Roman" w:cs="Times New Roman"/>
          <w:color w:val="000000"/>
          <w:sz w:val="25"/>
          <w:szCs w:val="25"/>
        </w:rPr>
        <w:t>因應各本政策範圍，</w:t>
      </w:r>
      <w:r w:rsidRPr="002C28A4">
        <w:rPr>
          <w:rFonts w:ascii="Times New Roman" w:eastAsia="標楷體" w:hAnsi="Times New Roman" w:cs="Times New Roman"/>
          <w:sz w:val="25"/>
          <w:szCs w:val="25"/>
        </w:rPr>
        <w:t>本會回應如下</w:t>
      </w:r>
      <w:r w:rsidR="00B11F8B" w:rsidRPr="002C28A4">
        <w:rPr>
          <w:rFonts w:ascii="Times New Roman" w:eastAsia="標楷體" w:hAnsi="Times New Roman" w:cs="Times New Roman"/>
          <w:sz w:val="25"/>
          <w:szCs w:val="25"/>
        </w:rPr>
        <w:t xml:space="preserve"> :</w:t>
      </w:r>
    </w:p>
    <w:p w:rsidR="00C16010" w:rsidRPr="002C28A4" w:rsidRDefault="00C16010" w:rsidP="002C28A4">
      <w:pPr>
        <w:spacing w:line="300" w:lineRule="exact"/>
        <w:jc w:val="both"/>
        <w:rPr>
          <w:rFonts w:ascii="Times New Roman" w:eastAsia="標楷體" w:hAnsi="Times New Roman" w:cs="Times New Roman"/>
          <w:sz w:val="25"/>
          <w:szCs w:val="25"/>
        </w:rPr>
      </w:pPr>
    </w:p>
    <w:p w:rsidR="00E52D02" w:rsidRPr="002C28A4" w:rsidRDefault="00E52D02" w:rsidP="002C28A4">
      <w:pPr>
        <w:pStyle w:val="a3"/>
        <w:numPr>
          <w:ilvl w:val="0"/>
          <w:numId w:val="3"/>
        </w:numPr>
        <w:spacing w:line="300" w:lineRule="exact"/>
        <w:ind w:leftChars="0"/>
        <w:jc w:val="both"/>
        <w:rPr>
          <w:rFonts w:ascii="Times New Roman" w:eastAsia="標楷體" w:hAnsi="Times New Roman" w:cs="Times New Roman"/>
          <w:b/>
          <w:sz w:val="25"/>
          <w:szCs w:val="25"/>
        </w:rPr>
      </w:pPr>
      <w:r w:rsidRPr="002C28A4">
        <w:rPr>
          <w:rFonts w:ascii="Times New Roman" w:eastAsia="標楷體" w:hAnsi="Times New Roman" w:cs="Times New Roman"/>
          <w:b/>
          <w:sz w:val="25"/>
          <w:szCs w:val="25"/>
        </w:rPr>
        <w:t>經濟政策欠多元</w:t>
      </w:r>
      <w:r w:rsidR="00012527" w:rsidRPr="002C28A4">
        <w:rPr>
          <w:rFonts w:ascii="Times New Roman" w:eastAsia="標楷體" w:hAnsi="Times New Roman" w:cs="Times New Roman"/>
          <w:b/>
          <w:sz w:val="25"/>
          <w:szCs w:val="25"/>
        </w:rPr>
        <w:t>化</w:t>
      </w:r>
      <w:r w:rsidRPr="002C28A4">
        <w:rPr>
          <w:rFonts w:ascii="Times New Roman" w:eastAsia="標楷體" w:hAnsi="Times New Roman" w:cs="Times New Roman"/>
          <w:b/>
          <w:sz w:val="25"/>
          <w:szCs w:val="25"/>
        </w:rPr>
        <w:t xml:space="preserve"> </w:t>
      </w:r>
      <w:r w:rsidR="00012527" w:rsidRPr="002C28A4">
        <w:rPr>
          <w:rFonts w:ascii="Times New Roman" w:eastAsia="標楷體" w:hAnsi="Times New Roman" w:cs="Times New Roman"/>
          <w:b/>
          <w:sz w:val="25"/>
          <w:szCs w:val="25"/>
        </w:rPr>
        <w:t xml:space="preserve"> </w:t>
      </w:r>
      <w:r w:rsidRPr="002C28A4">
        <w:rPr>
          <w:rFonts w:ascii="Times New Roman" w:eastAsia="標楷體" w:hAnsi="Times New Roman" w:cs="Times New Roman"/>
          <w:b/>
          <w:sz w:val="25"/>
          <w:szCs w:val="25"/>
        </w:rPr>
        <w:t>基</w:t>
      </w:r>
      <w:r w:rsidR="00665791" w:rsidRPr="002C28A4">
        <w:rPr>
          <w:rFonts w:ascii="Times New Roman" w:eastAsia="標楷體" w:hAnsi="Times New Roman" w:cs="Times New Roman"/>
          <w:b/>
          <w:sz w:val="25"/>
          <w:szCs w:val="25"/>
        </w:rPr>
        <w:t>層</w:t>
      </w:r>
      <w:r w:rsidRPr="002C28A4">
        <w:rPr>
          <w:rFonts w:ascii="Times New Roman" w:eastAsia="標楷體" w:hAnsi="Times New Roman" w:cs="Times New Roman"/>
          <w:b/>
          <w:sz w:val="25"/>
          <w:szCs w:val="25"/>
        </w:rPr>
        <w:t>向上流動機會不足</w:t>
      </w:r>
    </w:p>
    <w:p w:rsidR="00E52D02" w:rsidRPr="002C28A4" w:rsidRDefault="00E52D02" w:rsidP="002C28A4">
      <w:pPr>
        <w:spacing w:line="300" w:lineRule="exact"/>
        <w:jc w:val="both"/>
        <w:rPr>
          <w:rFonts w:ascii="Times New Roman" w:eastAsia="標楷體" w:hAnsi="Times New Roman" w:cs="Times New Roman"/>
          <w:sz w:val="25"/>
          <w:szCs w:val="25"/>
        </w:rPr>
      </w:pPr>
    </w:p>
    <w:p w:rsidR="00E52D02" w:rsidRPr="002C28A4" w:rsidRDefault="000D6EDF" w:rsidP="002C28A4">
      <w:pPr>
        <w:spacing w:line="300" w:lineRule="exact"/>
        <w:ind w:firstLine="360"/>
        <w:jc w:val="both"/>
        <w:rPr>
          <w:rFonts w:ascii="Times New Roman" w:eastAsia="標楷體" w:hAnsi="Times New Roman" w:cs="Times New Roman"/>
          <w:sz w:val="25"/>
          <w:szCs w:val="25"/>
        </w:rPr>
      </w:pPr>
      <w:r w:rsidRPr="002C28A4">
        <w:rPr>
          <w:rFonts w:ascii="Times New Roman" w:eastAsia="標楷體" w:hAnsi="Times New Roman" w:cs="Times New Roman"/>
          <w:sz w:val="25"/>
          <w:szCs w:val="25"/>
        </w:rPr>
        <w:t>政府多次強調發展經濟是解決貧窮問題的重要</w:t>
      </w:r>
      <w:r w:rsidR="00665791" w:rsidRPr="002C28A4">
        <w:rPr>
          <w:rFonts w:ascii="Times New Roman" w:eastAsia="標楷體" w:hAnsi="Times New Roman" w:cs="Times New Roman"/>
          <w:sz w:val="25"/>
          <w:szCs w:val="25"/>
        </w:rPr>
        <w:t>途徑，惟施政報告側重於如何發展專業服務、金融、地產等服務行業，受惠勞工大多為高技術的專業人士；卻未有</w:t>
      </w:r>
      <w:r w:rsidR="002447BE" w:rsidRPr="002C28A4">
        <w:rPr>
          <w:rFonts w:ascii="Times New Roman" w:eastAsia="標楷體" w:hAnsi="Times New Roman" w:cs="Times New Roman"/>
          <w:sz w:val="25"/>
          <w:szCs w:val="25"/>
        </w:rPr>
        <w:t>提出如何發展新經濟產業模式，以容讓基層勞工受惠。</w:t>
      </w:r>
      <w:r w:rsidR="00C42FC7" w:rsidRPr="002C28A4">
        <w:rPr>
          <w:rFonts w:ascii="Times New Roman" w:eastAsia="標楷體" w:hAnsi="Times New Roman" w:cs="Times New Roman"/>
          <w:sz w:val="25"/>
          <w:szCs w:val="25"/>
        </w:rPr>
        <w:t>當局沒有提及如何促進經濟產業的多元化及持續發展，基層勞工</w:t>
      </w:r>
      <w:r w:rsidR="009B7DEF" w:rsidRPr="002C28A4">
        <w:rPr>
          <w:rFonts w:ascii="Times New Roman" w:eastAsia="標楷體" w:hAnsi="Times New Roman" w:cs="Times New Roman"/>
          <w:sz w:val="25"/>
          <w:szCs w:val="25"/>
        </w:rPr>
        <w:t>無從透過經濟發展，達致向上流動的機會。根據香港貧窮情況</w:t>
      </w:r>
      <w:r w:rsidR="009B7DEF" w:rsidRPr="002C28A4">
        <w:rPr>
          <w:rFonts w:ascii="Times New Roman" w:eastAsia="標楷體" w:hAnsi="Times New Roman" w:cs="Times New Roman"/>
          <w:sz w:val="25"/>
          <w:szCs w:val="25"/>
        </w:rPr>
        <w:t>2013</w:t>
      </w:r>
      <w:r w:rsidR="009B7DEF" w:rsidRPr="002C28A4">
        <w:rPr>
          <w:rFonts w:ascii="Times New Roman" w:eastAsia="標楷體" w:hAnsi="Times New Roman" w:cs="Times New Roman"/>
          <w:sz w:val="25"/>
          <w:szCs w:val="25"/>
        </w:rPr>
        <w:t>年</w:t>
      </w:r>
      <w:r w:rsidR="0054626B" w:rsidRPr="002C28A4">
        <w:rPr>
          <w:rFonts w:ascii="Times New Roman" w:eastAsia="標楷體" w:hAnsi="Times New Roman" w:cs="Times New Roman"/>
          <w:sz w:val="25"/>
          <w:szCs w:val="25"/>
        </w:rPr>
        <w:t>報告</w:t>
      </w:r>
      <w:r w:rsidR="009B7DEF" w:rsidRPr="002C28A4">
        <w:rPr>
          <w:rFonts w:ascii="Times New Roman" w:eastAsia="標楷體" w:hAnsi="Times New Roman" w:cs="Times New Roman"/>
          <w:sz w:val="25"/>
          <w:szCs w:val="25"/>
        </w:rPr>
        <w:t>，</w:t>
      </w:r>
      <w:r w:rsidR="009B7DEF" w:rsidRPr="002C28A4">
        <w:rPr>
          <w:rFonts w:ascii="Times New Roman" w:eastAsia="標楷體" w:hAnsi="Times New Roman" w:cs="Times New Roman"/>
          <w:sz w:val="25"/>
          <w:szCs w:val="25"/>
        </w:rPr>
        <w:t>2013</w:t>
      </w:r>
      <w:r w:rsidR="009B7DEF" w:rsidRPr="002C28A4">
        <w:rPr>
          <w:rFonts w:ascii="Times New Roman" w:eastAsia="標楷體" w:hAnsi="Times New Roman" w:cs="Times New Roman"/>
          <w:sz w:val="25"/>
          <w:szCs w:val="25"/>
        </w:rPr>
        <w:t>年本港貧窮人口高達</w:t>
      </w:r>
      <w:r w:rsidR="009B7DEF" w:rsidRPr="002C28A4">
        <w:rPr>
          <w:rFonts w:ascii="Times New Roman" w:eastAsia="標楷體" w:hAnsi="Times New Roman" w:cs="Times New Roman"/>
          <w:sz w:val="25"/>
          <w:szCs w:val="25"/>
        </w:rPr>
        <w:t>133.6</w:t>
      </w:r>
      <w:r w:rsidR="009B7DEF" w:rsidRPr="002C28A4">
        <w:rPr>
          <w:rFonts w:ascii="Times New Roman" w:eastAsia="標楷體" w:hAnsi="Times New Roman" w:cs="Times New Roman"/>
          <w:sz w:val="25"/>
          <w:szCs w:val="25"/>
        </w:rPr>
        <w:t>萬人</w:t>
      </w:r>
      <w:r w:rsidR="009B7DEF" w:rsidRPr="002C28A4">
        <w:rPr>
          <w:rFonts w:ascii="Times New Roman" w:eastAsia="標楷體" w:hAnsi="Times New Roman" w:cs="Times New Roman"/>
          <w:sz w:val="25"/>
          <w:szCs w:val="25"/>
        </w:rPr>
        <w:t>(2012</w:t>
      </w:r>
      <w:r w:rsidR="009B7DEF" w:rsidRPr="002C28A4">
        <w:rPr>
          <w:rFonts w:ascii="Times New Roman" w:eastAsia="標楷體" w:hAnsi="Times New Roman" w:cs="Times New Roman"/>
          <w:sz w:val="25"/>
          <w:szCs w:val="25"/>
        </w:rPr>
        <w:t>年為</w:t>
      </w:r>
      <w:r w:rsidR="003A14B2" w:rsidRPr="002C28A4">
        <w:rPr>
          <w:rFonts w:ascii="Times New Roman" w:eastAsia="標楷體" w:hAnsi="Times New Roman" w:cs="Times New Roman"/>
          <w:sz w:val="25"/>
          <w:szCs w:val="25"/>
        </w:rPr>
        <w:t>131.2</w:t>
      </w:r>
      <w:r w:rsidR="009B7DEF" w:rsidRPr="002C28A4">
        <w:rPr>
          <w:rFonts w:ascii="Times New Roman" w:eastAsia="標楷體" w:hAnsi="Times New Roman" w:cs="Times New Roman"/>
          <w:sz w:val="25"/>
          <w:szCs w:val="25"/>
        </w:rPr>
        <w:t>萬人</w:t>
      </w:r>
      <w:r w:rsidR="009B7DEF" w:rsidRPr="002C28A4">
        <w:rPr>
          <w:rFonts w:ascii="Times New Roman" w:eastAsia="標楷體" w:hAnsi="Times New Roman" w:cs="Times New Roman"/>
          <w:sz w:val="25"/>
          <w:szCs w:val="25"/>
        </w:rPr>
        <w:t>)</w:t>
      </w:r>
      <w:r w:rsidR="009B7DEF" w:rsidRPr="002C28A4">
        <w:rPr>
          <w:rFonts w:ascii="Times New Roman" w:eastAsia="標楷體" w:hAnsi="Times New Roman" w:cs="Times New Roman"/>
          <w:sz w:val="25"/>
          <w:szCs w:val="25"/>
        </w:rPr>
        <w:t>，</w:t>
      </w:r>
      <w:r w:rsidR="007274A5" w:rsidRPr="002C28A4">
        <w:rPr>
          <w:rFonts w:ascii="Times New Roman" w:eastAsia="標楷體" w:hAnsi="Times New Roman" w:cs="Times New Roman"/>
          <w:sz w:val="25"/>
          <w:szCs w:val="25"/>
        </w:rPr>
        <w:t>貧窮率上升至</w:t>
      </w:r>
      <w:r w:rsidR="007274A5" w:rsidRPr="002C28A4">
        <w:rPr>
          <w:rFonts w:ascii="Times New Roman" w:eastAsia="標楷體" w:hAnsi="Times New Roman" w:cs="Times New Roman"/>
          <w:sz w:val="25"/>
          <w:szCs w:val="25"/>
        </w:rPr>
        <w:t>19.9%(2012</w:t>
      </w:r>
      <w:r w:rsidR="007274A5" w:rsidRPr="002C28A4">
        <w:rPr>
          <w:rFonts w:ascii="Times New Roman" w:eastAsia="標楷體" w:hAnsi="Times New Roman" w:cs="Times New Roman"/>
          <w:sz w:val="25"/>
          <w:szCs w:val="25"/>
        </w:rPr>
        <w:t>年為</w:t>
      </w:r>
      <w:r w:rsidR="007274A5" w:rsidRPr="002C28A4">
        <w:rPr>
          <w:rFonts w:ascii="Times New Roman" w:eastAsia="標楷體" w:hAnsi="Times New Roman" w:cs="Times New Roman"/>
          <w:sz w:val="25"/>
          <w:szCs w:val="25"/>
        </w:rPr>
        <w:t>19.6%)</w:t>
      </w:r>
      <w:r w:rsidR="007274A5" w:rsidRPr="002C28A4">
        <w:rPr>
          <w:rFonts w:ascii="Times New Roman" w:eastAsia="標楷體" w:hAnsi="Times New Roman" w:cs="Times New Roman"/>
          <w:sz w:val="25"/>
          <w:szCs w:val="25"/>
        </w:rPr>
        <w:t>，貧窮人口為歷年新高，惟同期本港經濟增長強勁，反映經濟發展未能有效地處理本港貧窮問題。</w:t>
      </w:r>
    </w:p>
    <w:p w:rsidR="00D520F0" w:rsidRPr="002C28A4" w:rsidRDefault="00D520F0" w:rsidP="002C28A4">
      <w:pPr>
        <w:spacing w:line="300" w:lineRule="exact"/>
        <w:jc w:val="both"/>
        <w:rPr>
          <w:rFonts w:ascii="Times New Roman" w:eastAsia="標楷體" w:hAnsi="Times New Roman" w:cs="Times New Roman"/>
          <w:sz w:val="25"/>
          <w:szCs w:val="25"/>
        </w:rPr>
      </w:pPr>
    </w:p>
    <w:p w:rsidR="00D520F0" w:rsidRPr="002C28A4" w:rsidRDefault="00DF34A3" w:rsidP="002C28A4">
      <w:pPr>
        <w:pStyle w:val="a3"/>
        <w:numPr>
          <w:ilvl w:val="0"/>
          <w:numId w:val="3"/>
        </w:numPr>
        <w:spacing w:line="300" w:lineRule="exact"/>
        <w:ind w:leftChars="0"/>
        <w:jc w:val="both"/>
        <w:rPr>
          <w:rFonts w:ascii="Times New Roman" w:eastAsia="標楷體" w:hAnsi="Times New Roman" w:cs="Times New Roman"/>
          <w:b/>
          <w:sz w:val="25"/>
          <w:szCs w:val="25"/>
        </w:rPr>
      </w:pPr>
      <w:r w:rsidRPr="002C28A4">
        <w:rPr>
          <w:rFonts w:ascii="Times New Roman" w:eastAsia="標楷體" w:hAnsi="Times New Roman" w:cs="Times New Roman"/>
          <w:b/>
          <w:sz w:val="25"/>
          <w:szCs w:val="25"/>
        </w:rPr>
        <w:t>通脹租</w:t>
      </w:r>
      <w:r w:rsidR="007E4467">
        <w:rPr>
          <w:rFonts w:ascii="Times New Roman" w:eastAsia="標楷體" w:hAnsi="Times New Roman" w:cs="Times New Roman" w:hint="eastAsia"/>
          <w:b/>
          <w:sz w:val="25"/>
          <w:szCs w:val="25"/>
        </w:rPr>
        <w:t>金</w:t>
      </w:r>
      <w:r w:rsidRPr="002C28A4">
        <w:rPr>
          <w:rFonts w:ascii="Times New Roman" w:eastAsia="標楷體" w:hAnsi="Times New Roman" w:cs="Times New Roman"/>
          <w:b/>
          <w:sz w:val="25"/>
          <w:szCs w:val="25"/>
        </w:rPr>
        <w:t>升幅高</w:t>
      </w:r>
      <w:r w:rsidRPr="002C28A4">
        <w:rPr>
          <w:rFonts w:ascii="Times New Roman" w:eastAsia="標楷體" w:hAnsi="Times New Roman" w:cs="Times New Roman"/>
          <w:b/>
          <w:sz w:val="25"/>
          <w:szCs w:val="25"/>
        </w:rPr>
        <w:t xml:space="preserve"> </w:t>
      </w:r>
      <w:r w:rsidR="00DA2AE0" w:rsidRPr="002C28A4">
        <w:rPr>
          <w:rFonts w:ascii="Times New Roman" w:eastAsia="標楷體" w:hAnsi="Times New Roman" w:cs="Times New Roman"/>
          <w:b/>
          <w:sz w:val="25"/>
          <w:szCs w:val="25"/>
        </w:rPr>
        <w:t xml:space="preserve"> </w:t>
      </w:r>
      <w:r w:rsidR="004C4516" w:rsidRPr="002C28A4">
        <w:rPr>
          <w:rFonts w:ascii="Times New Roman" w:eastAsia="標楷體" w:hAnsi="Times New Roman" w:cs="Times New Roman"/>
          <w:b/>
          <w:sz w:val="25"/>
          <w:szCs w:val="25"/>
        </w:rPr>
        <w:t>最低工資增幅過低</w:t>
      </w:r>
      <w:r w:rsidR="004C4516" w:rsidRPr="002C28A4">
        <w:rPr>
          <w:rFonts w:ascii="Times New Roman" w:eastAsia="標楷體" w:hAnsi="Times New Roman" w:cs="Times New Roman"/>
          <w:b/>
          <w:sz w:val="25"/>
          <w:szCs w:val="25"/>
        </w:rPr>
        <w:t xml:space="preserve">  </w:t>
      </w:r>
      <w:r w:rsidRPr="002C28A4">
        <w:rPr>
          <w:rFonts w:ascii="Times New Roman" w:eastAsia="標楷體" w:hAnsi="Times New Roman" w:cs="Times New Roman"/>
          <w:b/>
          <w:sz w:val="25"/>
          <w:szCs w:val="25"/>
        </w:rPr>
        <w:t>基層難透過自力脫貧</w:t>
      </w:r>
    </w:p>
    <w:p w:rsidR="00D520F0" w:rsidRPr="002C28A4" w:rsidRDefault="00D520F0" w:rsidP="002C28A4">
      <w:pPr>
        <w:spacing w:line="300" w:lineRule="exact"/>
        <w:jc w:val="both"/>
        <w:rPr>
          <w:rFonts w:ascii="Times New Roman" w:eastAsia="標楷體" w:hAnsi="Times New Roman" w:cs="Times New Roman"/>
          <w:sz w:val="25"/>
          <w:szCs w:val="25"/>
        </w:rPr>
      </w:pPr>
    </w:p>
    <w:p w:rsidR="00B176DB" w:rsidRPr="002C28A4" w:rsidRDefault="00DF34A3" w:rsidP="002C28A4">
      <w:pPr>
        <w:spacing w:line="300" w:lineRule="exact"/>
        <w:ind w:firstLine="360"/>
        <w:jc w:val="both"/>
        <w:rPr>
          <w:rFonts w:ascii="Times New Roman" w:eastAsia="標楷體" w:hAnsi="Times New Roman" w:cs="Times New Roman"/>
          <w:sz w:val="25"/>
          <w:szCs w:val="25"/>
        </w:rPr>
      </w:pPr>
      <w:r w:rsidRPr="002C28A4">
        <w:rPr>
          <w:rFonts w:ascii="Times New Roman" w:eastAsia="標楷體" w:hAnsi="Times New Roman" w:cs="Times New Roman"/>
          <w:sz w:val="25"/>
          <w:szCs w:val="25"/>
        </w:rPr>
        <w:t>過去一年，基層市民生活在水深火熱之中，截至</w:t>
      </w:r>
      <w:r w:rsidRPr="002C28A4">
        <w:rPr>
          <w:rFonts w:ascii="Times New Roman" w:eastAsia="標楷體" w:hAnsi="Times New Roman" w:cs="Times New Roman"/>
          <w:sz w:val="25"/>
          <w:szCs w:val="25"/>
        </w:rPr>
        <w:t>2014</w:t>
      </w:r>
      <w:r w:rsidRPr="002C28A4">
        <w:rPr>
          <w:rFonts w:ascii="Times New Roman" w:eastAsia="標楷體" w:hAnsi="Times New Roman" w:cs="Times New Roman"/>
          <w:sz w:val="25"/>
          <w:szCs w:val="25"/>
        </w:rPr>
        <w:t>年</w:t>
      </w:r>
      <w:r w:rsidRPr="002C28A4">
        <w:rPr>
          <w:rFonts w:ascii="Times New Roman" w:eastAsia="標楷體" w:hAnsi="Times New Roman" w:cs="Times New Roman"/>
          <w:sz w:val="25"/>
          <w:szCs w:val="25"/>
        </w:rPr>
        <w:t>11</w:t>
      </w:r>
      <w:r w:rsidRPr="002C28A4">
        <w:rPr>
          <w:rFonts w:ascii="Times New Roman" w:eastAsia="標楷體" w:hAnsi="Times New Roman" w:cs="Times New Roman"/>
          <w:sz w:val="25"/>
          <w:szCs w:val="25"/>
        </w:rPr>
        <w:t>月，基本通脹率上升高達</w:t>
      </w:r>
      <w:r w:rsidRPr="002C28A4">
        <w:rPr>
          <w:rFonts w:ascii="Times New Roman" w:eastAsia="標楷體" w:hAnsi="Times New Roman" w:cs="Times New Roman"/>
          <w:sz w:val="25"/>
          <w:szCs w:val="25"/>
        </w:rPr>
        <w:t>3.5%(</w:t>
      </w:r>
      <w:r w:rsidRPr="002C28A4">
        <w:rPr>
          <w:rFonts w:ascii="Times New Roman" w:eastAsia="標楷體" w:hAnsi="Times New Roman" w:cs="Times New Roman"/>
          <w:sz w:val="25"/>
          <w:szCs w:val="25"/>
        </w:rPr>
        <w:t>剔除所有政府一次性紓困措施影響的</w:t>
      </w:r>
      <w:r w:rsidRPr="002C28A4">
        <w:rPr>
          <w:rStyle w:val="tooltipstyle"/>
          <w:rFonts w:ascii="Times New Roman" w:eastAsia="標楷體" w:hAnsi="Times New Roman" w:cs="Times New Roman"/>
          <w:sz w:val="25"/>
          <w:szCs w:val="25"/>
        </w:rPr>
        <w:t>綜合消費物價指數</w:t>
      </w:r>
      <w:r w:rsidRPr="002C28A4">
        <w:rPr>
          <w:rFonts w:ascii="Times New Roman" w:eastAsia="標楷體" w:hAnsi="Times New Roman" w:cs="Times New Roman"/>
          <w:sz w:val="25"/>
          <w:szCs w:val="25"/>
        </w:rPr>
        <w:t>)</w:t>
      </w:r>
      <w:r w:rsidRPr="002C28A4">
        <w:rPr>
          <w:rFonts w:ascii="Times New Roman" w:eastAsia="標楷體" w:hAnsi="Times New Roman" w:cs="Times New Roman"/>
          <w:sz w:val="25"/>
          <w:szCs w:val="25"/>
        </w:rPr>
        <w:t>，不少租住私樓的基層市民，更要面對高昂租金，以</w:t>
      </w:r>
      <w:r w:rsidRPr="002C28A4">
        <w:rPr>
          <w:rFonts w:ascii="Times New Roman" w:eastAsia="標楷體" w:hAnsi="Times New Roman" w:cs="Times New Roman"/>
          <w:sz w:val="25"/>
          <w:szCs w:val="25"/>
        </w:rPr>
        <w:t>2013</w:t>
      </w:r>
      <w:r w:rsidRPr="002C28A4">
        <w:rPr>
          <w:rFonts w:ascii="Times New Roman" w:eastAsia="標楷體" w:hAnsi="Times New Roman" w:cs="Times New Roman"/>
          <w:sz w:val="25"/>
          <w:szCs w:val="25"/>
        </w:rPr>
        <w:t>年為例，全港租金指數為</w:t>
      </w:r>
      <w:r w:rsidRPr="002C28A4">
        <w:rPr>
          <w:rFonts w:ascii="Times New Roman" w:eastAsia="標楷體" w:hAnsi="Times New Roman" w:cs="Times New Roman"/>
          <w:sz w:val="25"/>
          <w:szCs w:val="25"/>
        </w:rPr>
        <w:t>154.5(2012</w:t>
      </w:r>
      <w:r w:rsidRPr="002C28A4">
        <w:rPr>
          <w:rFonts w:ascii="Times New Roman" w:eastAsia="標楷體" w:hAnsi="Times New Roman" w:cs="Times New Roman"/>
          <w:sz w:val="25"/>
          <w:szCs w:val="25"/>
        </w:rPr>
        <w:t>年為</w:t>
      </w:r>
      <w:r w:rsidRPr="002C28A4">
        <w:rPr>
          <w:rFonts w:ascii="Times New Roman" w:eastAsia="標楷體" w:hAnsi="Times New Roman" w:cs="Times New Roman"/>
          <w:sz w:val="25"/>
          <w:szCs w:val="25"/>
        </w:rPr>
        <w:t>142.6)</w:t>
      </w:r>
      <w:r w:rsidRPr="002C28A4">
        <w:rPr>
          <w:rFonts w:ascii="Times New Roman" w:eastAsia="標楷體" w:hAnsi="Times New Roman" w:cs="Times New Roman"/>
          <w:sz w:val="25"/>
          <w:szCs w:val="25"/>
        </w:rPr>
        <w:t>，按年升幅達</w:t>
      </w:r>
      <w:r w:rsidRPr="002C28A4">
        <w:rPr>
          <w:rFonts w:ascii="Times New Roman" w:eastAsia="標楷體" w:hAnsi="Times New Roman" w:cs="Times New Roman"/>
          <w:sz w:val="25"/>
          <w:szCs w:val="25"/>
        </w:rPr>
        <w:t>8.3%</w:t>
      </w:r>
      <w:r w:rsidRPr="002C28A4">
        <w:rPr>
          <w:rFonts w:ascii="Times New Roman" w:eastAsia="標楷體" w:hAnsi="Times New Roman" w:cs="Times New Roman"/>
          <w:sz w:val="25"/>
          <w:szCs w:val="25"/>
        </w:rPr>
        <w:t>；同時，在</w:t>
      </w:r>
      <w:r w:rsidRPr="002C28A4">
        <w:rPr>
          <w:rFonts w:ascii="Times New Roman" w:eastAsia="標楷體" w:hAnsi="Times New Roman" w:cs="Times New Roman"/>
          <w:sz w:val="25"/>
          <w:szCs w:val="25"/>
        </w:rPr>
        <w:t>2013</w:t>
      </w:r>
      <w:r w:rsidRPr="002C28A4">
        <w:rPr>
          <w:rFonts w:ascii="Times New Roman" w:eastAsia="標楷體" w:hAnsi="Times New Roman" w:cs="Times New Roman"/>
          <w:sz w:val="25"/>
          <w:szCs w:val="25"/>
        </w:rPr>
        <w:t>年，全港小型單</w:t>
      </w:r>
      <w:r w:rsidR="006165A7" w:rsidRPr="002C28A4">
        <w:rPr>
          <w:rFonts w:ascii="Times New Roman" w:eastAsia="標楷體" w:hAnsi="Times New Roman" w:cs="Times New Roman"/>
          <w:sz w:val="25"/>
          <w:szCs w:val="25"/>
        </w:rPr>
        <w:t>位</w:t>
      </w:r>
      <w:r w:rsidR="006165A7" w:rsidRPr="002C28A4">
        <w:rPr>
          <w:rFonts w:ascii="Times New Roman" w:eastAsia="標楷體" w:hAnsi="Times New Roman" w:cs="Times New Roman"/>
          <w:sz w:val="25"/>
          <w:szCs w:val="25"/>
        </w:rPr>
        <w:t>(</w:t>
      </w:r>
      <w:r w:rsidR="006165A7" w:rsidRPr="002C28A4">
        <w:rPr>
          <w:rFonts w:ascii="Times New Roman" w:eastAsia="標楷體" w:hAnsi="Times New Roman" w:cs="Times New Roman"/>
          <w:sz w:val="25"/>
          <w:szCs w:val="25"/>
        </w:rPr>
        <w:t>即</w:t>
      </w:r>
      <w:r w:rsidRPr="002C28A4">
        <w:rPr>
          <w:rFonts w:ascii="Times New Roman" w:eastAsia="標楷體" w:hAnsi="Times New Roman" w:cs="Times New Roman"/>
          <w:sz w:val="25"/>
          <w:szCs w:val="25"/>
        </w:rPr>
        <w:t>40</w:t>
      </w:r>
      <w:r w:rsidRPr="002C28A4">
        <w:rPr>
          <w:rFonts w:ascii="Times New Roman" w:eastAsia="標楷體" w:hAnsi="Times New Roman" w:cs="Times New Roman"/>
          <w:sz w:val="25"/>
          <w:szCs w:val="25"/>
        </w:rPr>
        <w:t>平方米或以下</w:t>
      </w:r>
      <w:r w:rsidR="006165A7" w:rsidRPr="002C28A4">
        <w:rPr>
          <w:rFonts w:ascii="Times New Roman" w:eastAsia="標楷體" w:hAnsi="Times New Roman" w:cs="Times New Roman"/>
          <w:sz w:val="25"/>
          <w:szCs w:val="25"/>
        </w:rPr>
        <w:t>的</w:t>
      </w:r>
      <w:r w:rsidR="001F4469" w:rsidRPr="002C28A4">
        <w:rPr>
          <w:rFonts w:ascii="Times New Roman" w:eastAsia="標楷體" w:hAnsi="Times New Roman" w:cs="Times New Roman"/>
          <w:sz w:val="25"/>
          <w:szCs w:val="25"/>
        </w:rPr>
        <w:t>A</w:t>
      </w:r>
      <w:r w:rsidR="001F4469" w:rsidRPr="002C28A4">
        <w:rPr>
          <w:rFonts w:ascii="Times New Roman" w:eastAsia="標楷體" w:hAnsi="Times New Roman" w:cs="Times New Roman"/>
          <w:sz w:val="25"/>
          <w:szCs w:val="25"/>
        </w:rPr>
        <w:t>類</w:t>
      </w:r>
      <w:r w:rsidR="006165A7" w:rsidRPr="002C28A4">
        <w:rPr>
          <w:rFonts w:ascii="Times New Roman" w:eastAsia="標楷體" w:hAnsi="Times New Roman" w:cs="Times New Roman"/>
          <w:sz w:val="25"/>
          <w:szCs w:val="25"/>
        </w:rPr>
        <w:t>單位</w:t>
      </w:r>
      <w:r w:rsidRPr="002C28A4">
        <w:rPr>
          <w:rFonts w:ascii="Times New Roman" w:eastAsia="標楷體" w:hAnsi="Times New Roman" w:cs="Times New Roman"/>
          <w:sz w:val="25"/>
          <w:szCs w:val="25"/>
        </w:rPr>
        <w:t>)</w:t>
      </w:r>
      <w:r w:rsidRPr="002C28A4">
        <w:rPr>
          <w:rFonts w:ascii="Times New Roman" w:eastAsia="標楷體" w:hAnsi="Times New Roman" w:cs="Times New Roman"/>
          <w:sz w:val="25"/>
          <w:szCs w:val="25"/>
        </w:rPr>
        <w:t>的租金指數為</w:t>
      </w:r>
      <w:r w:rsidRPr="002C28A4">
        <w:rPr>
          <w:rFonts w:ascii="Times New Roman" w:eastAsia="標楷體" w:hAnsi="Times New Roman" w:cs="Times New Roman"/>
          <w:sz w:val="25"/>
          <w:szCs w:val="25"/>
        </w:rPr>
        <w:t>163.6(2012</w:t>
      </w:r>
      <w:r w:rsidRPr="002C28A4">
        <w:rPr>
          <w:rFonts w:ascii="Times New Roman" w:eastAsia="標楷體" w:hAnsi="Times New Roman" w:cs="Times New Roman"/>
          <w:sz w:val="25"/>
          <w:szCs w:val="25"/>
        </w:rPr>
        <w:t>年為</w:t>
      </w:r>
      <w:r w:rsidRPr="002C28A4">
        <w:rPr>
          <w:rFonts w:ascii="Times New Roman" w:eastAsia="標楷體" w:hAnsi="Times New Roman" w:cs="Times New Roman"/>
          <w:sz w:val="25"/>
          <w:szCs w:val="25"/>
        </w:rPr>
        <w:t>149.6)</w:t>
      </w:r>
      <w:r w:rsidRPr="002C28A4">
        <w:rPr>
          <w:rFonts w:ascii="Times New Roman" w:eastAsia="標楷體" w:hAnsi="Times New Roman" w:cs="Times New Roman"/>
          <w:sz w:val="25"/>
          <w:szCs w:val="25"/>
        </w:rPr>
        <w:t>，按年升幅更高達</w:t>
      </w:r>
      <w:r w:rsidRPr="002C28A4">
        <w:rPr>
          <w:rFonts w:ascii="Times New Roman" w:eastAsia="標楷體" w:hAnsi="Times New Roman" w:cs="Times New Roman"/>
          <w:sz w:val="25"/>
          <w:szCs w:val="25"/>
        </w:rPr>
        <w:t>9.4%</w:t>
      </w:r>
      <w:r w:rsidRPr="002C28A4">
        <w:rPr>
          <w:rFonts w:ascii="Times New Roman" w:eastAsia="標楷體" w:hAnsi="Times New Roman" w:cs="Times New Roman"/>
          <w:sz w:val="25"/>
          <w:szCs w:val="25"/>
        </w:rPr>
        <w:t>。本會曾就居於劏房、板間房等不適切居所市民的租金進行調整，更發現普遍租金升幅多達</w:t>
      </w:r>
      <w:r w:rsidRPr="002C28A4">
        <w:rPr>
          <w:rFonts w:ascii="Times New Roman" w:eastAsia="標楷體" w:hAnsi="Times New Roman" w:cs="Times New Roman"/>
          <w:sz w:val="25"/>
          <w:szCs w:val="25"/>
        </w:rPr>
        <w:t>20%</w:t>
      </w:r>
      <w:r w:rsidRPr="002C28A4">
        <w:rPr>
          <w:rFonts w:ascii="Times New Roman" w:eastAsia="標楷體" w:hAnsi="Times New Roman" w:cs="Times New Roman"/>
          <w:sz w:val="25"/>
          <w:szCs w:val="25"/>
        </w:rPr>
        <w:t>。</w:t>
      </w:r>
      <w:r w:rsidR="00DA2AE0" w:rsidRPr="002C28A4">
        <w:rPr>
          <w:rFonts w:ascii="Times New Roman" w:eastAsia="標楷體" w:hAnsi="Times New Roman" w:cs="Times New Roman"/>
          <w:sz w:val="25"/>
          <w:szCs w:val="25"/>
        </w:rPr>
        <w:t>惟最低工資仍僅由</w:t>
      </w:r>
      <w:r w:rsidR="00DA2AE0" w:rsidRPr="002C28A4">
        <w:rPr>
          <w:rFonts w:ascii="Times New Roman" w:eastAsia="標楷體" w:hAnsi="Times New Roman" w:cs="Times New Roman"/>
          <w:sz w:val="25"/>
          <w:szCs w:val="25"/>
        </w:rPr>
        <w:t>30</w:t>
      </w:r>
      <w:r w:rsidR="00DA2AE0" w:rsidRPr="002C28A4">
        <w:rPr>
          <w:rFonts w:ascii="Times New Roman" w:eastAsia="標楷體" w:hAnsi="Times New Roman" w:cs="Times New Roman"/>
          <w:sz w:val="25"/>
          <w:szCs w:val="25"/>
        </w:rPr>
        <w:t>元上調至</w:t>
      </w:r>
      <w:r w:rsidR="00DA2AE0" w:rsidRPr="002C28A4">
        <w:rPr>
          <w:rFonts w:ascii="Times New Roman" w:eastAsia="標楷體" w:hAnsi="Times New Roman" w:cs="Times New Roman"/>
          <w:sz w:val="25"/>
          <w:szCs w:val="25"/>
        </w:rPr>
        <w:t>32.5</w:t>
      </w:r>
      <w:r w:rsidR="00DA2AE0" w:rsidRPr="002C28A4">
        <w:rPr>
          <w:rFonts w:ascii="Times New Roman" w:eastAsia="標楷體" w:hAnsi="Times New Roman" w:cs="Times New Roman"/>
          <w:sz w:val="25"/>
          <w:szCs w:val="25"/>
        </w:rPr>
        <w:t>元，</w:t>
      </w:r>
      <w:r w:rsidR="007024D3" w:rsidRPr="002C28A4">
        <w:rPr>
          <w:rFonts w:ascii="Times New Roman" w:eastAsia="標楷體" w:hAnsi="Times New Roman" w:cs="Times New Roman"/>
          <w:sz w:val="25"/>
          <w:szCs w:val="25"/>
        </w:rPr>
        <w:t>遠離市場平均每小時</w:t>
      </w:r>
      <w:r w:rsidR="007024D3" w:rsidRPr="002C28A4">
        <w:rPr>
          <w:rFonts w:ascii="Times New Roman" w:eastAsia="標楷體" w:hAnsi="Times New Roman" w:cs="Times New Roman"/>
          <w:sz w:val="25"/>
          <w:szCs w:val="25"/>
        </w:rPr>
        <w:t>35</w:t>
      </w:r>
      <w:r w:rsidR="007024D3" w:rsidRPr="002C28A4">
        <w:rPr>
          <w:rFonts w:ascii="Times New Roman" w:eastAsia="標楷體" w:hAnsi="Times New Roman" w:cs="Times New Roman"/>
          <w:sz w:val="25"/>
          <w:szCs w:val="25"/>
        </w:rPr>
        <w:t>元的幅度，</w:t>
      </w:r>
      <w:r w:rsidR="008A0E8B" w:rsidRPr="002C28A4">
        <w:rPr>
          <w:rFonts w:ascii="Times New Roman" w:eastAsia="標楷體" w:hAnsi="Times New Roman" w:cs="Times New Roman"/>
          <w:sz w:val="25"/>
          <w:szCs w:val="25"/>
        </w:rPr>
        <w:t>可見</w:t>
      </w:r>
      <w:r w:rsidR="00C35688" w:rsidRPr="002C28A4">
        <w:rPr>
          <w:rFonts w:ascii="Times New Roman" w:eastAsia="標楷體" w:hAnsi="Times New Roman" w:cs="Times New Roman"/>
          <w:sz w:val="25"/>
          <w:szCs w:val="25"/>
        </w:rPr>
        <w:t>最低工資保障不足。</w:t>
      </w:r>
      <w:r w:rsidRPr="002C28A4">
        <w:rPr>
          <w:rFonts w:ascii="Times New Roman" w:eastAsia="標楷體" w:hAnsi="Times New Roman" w:cs="Times New Roman"/>
          <w:sz w:val="25"/>
          <w:szCs w:val="25"/>
        </w:rPr>
        <w:t>以上情況反映基層市民工作收入趕不上物價增幅，難以透過個人就業而脫貧。政府</w:t>
      </w:r>
      <w:r w:rsidR="00E53002" w:rsidRPr="002C28A4">
        <w:rPr>
          <w:rFonts w:ascii="Times New Roman" w:eastAsia="標楷體" w:hAnsi="Times New Roman" w:cs="Times New Roman"/>
          <w:sz w:val="25"/>
          <w:szCs w:val="25"/>
        </w:rPr>
        <w:t>一</w:t>
      </w:r>
      <w:r w:rsidRPr="002C28A4">
        <w:rPr>
          <w:rFonts w:ascii="Times New Roman" w:eastAsia="標楷體" w:hAnsi="Times New Roman" w:cs="Times New Roman"/>
          <w:sz w:val="25"/>
          <w:szCs w:val="25"/>
        </w:rPr>
        <w:t>再強調透過福利轉移處理貧窮問題，未能</w:t>
      </w:r>
      <w:r w:rsidR="00E53002" w:rsidRPr="002C28A4">
        <w:rPr>
          <w:rFonts w:ascii="Times New Roman" w:eastAsia="標楷體" w:hAnsi="Times New Roman" w:cs="Times New Roman"/>
          <w:sz w:val="25"/>
          <w:szCs w:val="25"/>
        </w:rPr>
        <w:t>根本地</w:t>
      </w:r>
      <w:r w:rsidRPr="002C28A4">
        <w:rPr>
          <w:rFonts w:ascii="Times New Roman" w:eastAsia="標楷體" w:hAnsi="Times New Roman" w:cs="Times New Roman"/>
          <w:sz w:val="25"/>
          <w:szCs w:val="25"/>
        </w:rPr>
        <w:t>解決貧富懸殊的問題。</w:t>
      </w:r>
    </w:p>
    <w:p w:rsidR="004361AF" w:rsidRPr="002C28A4" w:rsidRDefault="004361AF" w:rsidP="002C28A4">
      <w:pPr>
        <w:spacing w:line="300" w:lineRule="exact"/>
        <w:jc w:val="both"/>
        <w:rPr>
          <w:rFonts w:ascii="Times New Roman" w:eastAsia="標楷體" w:hAnsi="Times New Roman" w:cs="Times New Roman"/>
          <w:sz w:val="25"/>
          <w:szCs w:val="25"/>
        </w:rPr>
      </w:pPr>
    </w:p>
    <w:p w:rsidR="004361AF" w:rsidRPr="002C28A4" w:rsidRDefault="004361AF" w:rsidP="002C28A4">
      <w:pPr>
        <w:pStyle w:val="a3"/>
        <w:numPr>
          <w:ilvl w:val="0"/>
          <w:numId w:val="3"/>
        </w:numPr>
        <w:spacing w:line="300" w:lineRule="exact"/>
        <w:ind w:leftChars="0"/>
        <w:jc w:val="both"/>
        <w:rPr>
          <w:rFonts w:ascii="Times New Roman" w:eastAsia="標楷體" w:hAnsi="Times New Roman" w:cs="Times New Roman"/>
          <w:b/>
          <w:sz w:val="25"/>
          <w:szCs w:val="25"/>
        </w:rPr>
      </w:pPr>
      <w:r w:rsidRPr="002C28A4">
        <w:rPr>
          <w:rFonts w:ascii="Times New Roman" w:eastAsia="標楷體" w:hAnsi="Times New Roman" w:cs="Times New Roman"/>
          <w:b/>
          <w:sz w:val="25"/>
          <w:szCs w:val="25"/>
        </w:rPr>
        <w:t>施政強調扶貧，惟欠具體滅貧指標</w:t>
      </w:r>
      <w:r w:rsidR="006E7428" w:rsidRPr="002C28A4">
        <w:rPr>
          <w:rFonts w:ascii="Times New Roman" w:eastAsia="標楷體" w:hAnsi="Times New Roman" w:cs="Times New Roman"/>
          <w:b/>
          <w:sz w:val="25"/>
          <w:szCs w:val="25"/>
        </w:rPr>
        <w:t>及滅貧時間表</w:t>
      </w:r>
    </w:p>
    <w:p w:rsidR="004361AF" w:rsidRPr="002C28A4" w:rsidRDefault="004361AF" w:rsidP="002C28A4">
      <w:pPr>
        <w:spacing w:line="300" w:lineRule="exact"/>
        <w:jc w:val="both"/>
        <w:rPr>
          <w:rFonts w:ascii="Times New Roman" w:eastAsia="標楷體" w:hAnsi="Times New Roman" w:cs="Times New Roman"/>
          <w:sz w:val="25"/>
          <w:szCs w:val="25"/>
        </w:rPr>
      </w:pPr>
    </w:p>
    <w:p w:rsidR="00C8582D" w:rsidRPr="002C28A4" w:rsidRDefault="004361AF" w:rsidP="002C28A4">
      <w:pPr>
        <w:spacing w:line="300" w:lineRule="exact"/>
        <w:ind w:firstLine="360"/>
        <w:jc w:val="both"/>
        <w:rPr>
          <w:rFonts w:ascii="Times New Roman" w:eastAsia="標楷體" w:hAnsi="Times New Roman" w:cs="Times New Roman"/>
          <w:sz w:val="25"/>
          <w:szCs w:val="25"/>
        </w:rPr>
      </w:pPr>
      <w:r w:rsidRPr="002C28A4">
        <w:rPr>
          <w:rFonts w:ascii="Times New Roman" w:eastAsia="標楷體" w:hAnsi="Times New Roman" w:cs="Times New Roman"/>
          <w:sz w:val="25"/>
          <w:szCs w:val="25"/>
        </w:rPr>
        <w:t>本屆特區政府一直強調積極處理貧窮問題，除重設扶貧委員會及貧窮線外，亦透過關愛基金等推出多項扶貧措施。然而，施政報告並未有進一步提及訂立滅貧指標及時間表，令公眾難以監察扶貧成效。</w:t>
      </w:r>
      <w:r w:rsidR="00C8582D" w:rsidRPr="002C28A4">
        <w:rPr>
          <w:rFonts w:ascii="Times New Roman" w:eastAsia="標楷體" w:hAnsi="Times New Roman" w:cs="Times New Roman"/>
          <w:sz w:val="25"/>
          <w:szCs w:val="25"/>
        </w:rPr>
        <w:t>當局必須針對不同貧窮人口</w:t>
      </w:r>
      <w:r w:rsidR="00C8582D" w:rsidRPr="002C28A4">
        <w:rPr>
          <w:rFonts w:ascii="Times New Roman" w:eastAsia="標楷體" w:hAnsi="Times New Roman" w:cs="Times New Roman"/>
          <w:sz w:val="25"/>
          <w:szCs w:val="25"/>
        </w:rPr>
        <w:t>(</w:t>
      </w:r>
      <w:r w:rsidR="00C8582D" w:rsidRPr="002C28A4">
        <w:rPr>
          <w:rFonts w:ascii="Times New Roman" w:eastAsia="標楷體" w:hAnsi="Times New Roman" w:cs="Times New Roman"/>
          <w:sz w:val="25"/>
          <w:szCs w:val="25"/>
        </w:rPr>
        <w:t>包括</w:t>
      </w:r>
      <w:r w:rsidR="00C8582D" w:rsidRPr="002C28A4">
        <w:rPr>
          <w:rFonts w:ascii="Times New Roman" w:eastAsia="標楷體" w:hAnsi="Times New Roman" w:cs="Times New Roman"/>
          <w:sz w:val="25"/>
          <w:szCs w:val="25"/>
        </w:rPr>
        <w:t>:</w:t>
      </w:r>
      <w:r w:rsidR="00C8582D" w:rsidRPr="002C28A4">
        <w:rPr>
          <w:rFonts w:ascii="Times New Roman" w:eastAsia="標楷體" w:hAnsi="Times New Roman" w:cs="Times New Roman"/>
          <w:sz w:val="25"/>
          <w:szCs w:val="25"/>
        </w:rPr>
        <w:t>老人、兒童、婦女、單親家庭、新移民、在職低收入家庭等</w:t>
      </w:r>
      <w:r w:rsidR="00C8582D" w:rsidRPr="002C28A4">
        <w:rPr>
          <w:rFonts w:ascii="Times New Roman" w:eastAsia="標楷體" w:hAnsi="Times New Roman" w:cs="Times New Roman"/>
          <w:sz w:val="25"/>
          <w:szCs w:val="25"/>
        </w:rPr>
        <w:t>)</w:t>
      </w:r>
      <w:r w:rsidR="00C8582D" w:rsidRPr="002C28A4">
        <w:rPr>
          <w:rFonts w:ascii="Times New Roman" w:eastAsia="標楷體" w:hAnsi="Times New Roman" w:cs="Times New Roman"/>
          <w:sz w:val="25"/>
          <w:szCs w:val="25"/>
        </w:rPr>
        <w:t>，訂定具體滅貧指標及滅貧時間表，詳細闡述如何透過經濟發展、各項社會政策下的福利轉移等策略，以減少貧窮人口。</w:t>
      </w:r>
    </w:p>
    <w:p w:rsidR="005F334D" w:rsidRPr="002C28A4" w:rsidRDefault="005F334D" w:rsidP="002C28A4">
      <w:pPr>
        <w:spacing w:line="300" w:lineRule="exact"/>
        <w:jc w:val="both"/>
        <w:rPr>
          <w:rFonts w:ascii="Times New Roman" w:eastAsia="標楷體" w:hAnsi="Times New Roman" w:cs="Times New Roman"/>
          <w:sz w:val="25"/>
          <w:szCs w:val="25"/>
        </w:rPr>
      </w:pPr>
    </w:p>
    <w:p w:rsidR="00DF34A3" w:rsidRPr="002C28A4" w:rsidRDefault="003122A3" w:rsidP="002C28A4">
      <w:pPr>
        <w:pStyle w:val="a3"/>
        <w:numPr>
          <w:ilvl w:val="0"/>
          <w:numId w:val="3"/>
        </w:numPr>
        <w:spacing w:line="300" w:lineRule="exact"/>
        <w:ind w:leftChars="0"/>
        <w:jc w:val="both"/>
        <w:rPr>
          <w:rFonts w:ascii="Times New Roman" w:eastAsia="標楷體" w:hAnsi="Times New Roman" w:cs="Times New Roman"/>
          <w:b/>
          <w:sz w:val="25"/>
          <w:szCs w:val="25"/>
        </w:rPr>
      </w:pPr>
      <w:r w:rsidRPr="002C28A4">
        <w:rPr>
          <w:rFonts w:ascii="Times New Roman" w:eastAsia="標楷體" w:hAnsi="Times New Roman" w:cs="Times New Roman"/>
          <w:b/>
          <w:sz w:val="25"/>
          <w:szCs w:val="25"/>
        </w:rPr>
        <w:t>無</w:t>
      </w:r>
      <w:r w:rsidR="00334188" w:rsidRPr="002C28A4">
        <w:rPr>
          <w:rFonts w:ascii="Times New Roman" w:eastAsia="標楷體" w:hAnsi="Times New Roman" w:cs="Times New Roman"/>
          <w:b/>
          <w:sz w:val="25"/>
          <w:szCs w:val="25"/>
        </w:rPr>
        <w:t>表達全民退休保障立場</w:t>
      </w:r>
      <w:r w:rsidR="00334188" w:rsidRPr="002C28A4">
        <w:rPr>
          <w:rFonts w:ascii="Times New Roman" w:eastAsia="標楷體" w:hAnsi="Times New Roman" w:cs="Times New Roman"/>
          <w:b/>
          <w:sz w:val="25"/>
          <w:szCs w:val="25"/>
        </w:rPr>
        <w:t xml:space="preserve">  </w:t>
      </w:r>
      <w:r w:rsidRPr="002C28A4">
        <w:rPr>
          <w:rFonts w:ascii="Times New Roman" w:eastAsia="標楷體" w:hAnsi="Times New Roman" w:cs="Times New Roman"/>
          <w:b/>
          <w:sz w:val="25"/>
          <w:szCs w:val="25"/>
        </w:rPr>
        <w:t>迴避姿態</w:t>
      </w:r>
      <w:r w:rsidR="00334188" w:rsidRPr="002C28A4">
        <w:rPr>
          <w:rFonts w:ascii="Times New Roman" w:eastAsia="標楷體" w:hAnsi="Times New Roman" w:cs="Times New Roman"/>
          <w:b/>
          <w:sz w:val="25"/>
          <w:szCs w:val="25"/>
        </w:rPr>
        <w:t>欠承擔</w:t>
      </w:r>
    </w:p>
    <w:p w:rsidR="008917FA" w:rsidRPr="002C28A4" w:rsidRDefault="008917FA" w:rsidP="002C28A4">
      <w:pPr>
        <w:spacing w:line="300" w:lineRule="exact"/>
        <w:jc w:val="both"/>
        <w:rPr>
          <w:rFonts w:ascii="Times New Roman" w:eastAsia="標楷體" w:hAnsi="Times New Roman" w:cs="Times New Roman"/>
          <w:b/>
          <w:sz w:val="25"/>
          <w:szCs w:val="25"/>
        </w:rPr>
      </w:pPr>
    </w:p>
    <w:p w:rsidR="007D3ED3" w:rsidRPr="002C28A4" w:rsidRDefault="00334188" w:rsidP="002C28A4">
      <w:pPr>
        <w:spacing w:line="300" w:lineRule="exact"/>
        <w:ind w:firstLine="360"/>
        <w:jc w:val="both"/>
        <w:rPr>
          <w:rFonts w:ascii="Times New Roman" w:eastAsia="標楷體" w:hAnsi="Times New Roman" w:cs="Times New Roman"/>
          <w:sz w:val="25"/>
          <w:szCs w:val="25"/>
        </w:rPr>
      </w:pPr>
      <w:r w:rsidRPr="002C28A4">
        <w:rPr>
          <w:rFonts w:ascii="Times New Roman" w:eastAsia="標楷體" w:hAnsi="Times New Roman" w:cs="Times New Roman"/>
          <w:sz w:val="25"/>
          <w:szCs w:val="25"/>
        </w:rPr>
        <w:t>本會歡迎特首在施政報告中提及政府宣佈預留</w:t>
      </w:r>
      <w:r w:rsidRPr="002C28A4">
        <w:rPr>
          <w:rFonts w:ascii="Times New Roman" w:eastAsia="標楷體" w:hAnsi="Times New Roman" w:cs="Times New Roman"/>
          <w:sz w:val="25"/>
          <w:szCs w:val="25"/>
        </w:rPr>
        <w:t>500</w:t>
      </w:r>
      <w:r w:rsidRPr="002C28A4">
        <w:rPr>
          <w:rFonts w:ascii="Times New Roman" w:eastAsia="標楷體" w:hAnsi="Times New Roman" w:cs="Times New Roman"/>
          <w:sz w:val="25"/>
          <w:szCs w:val="25"/>
        </w:rPr>
        <w:t>億元，用作改善市民在退休後的生活保障。然而，</w:t>
      </w:r>
      <w:r w:rsidR="000E61DE" w:rsidRPr="002C28A4">
        <w:rPr>
          <w:rFonts w:ascii="Times New Roman" w:eastAsia="標楷體" w:hAnsi="Times New Roman" w:cs="Times New Roman"/>
          <w:sz w:val="25"/>
          <w:szCs w:val="25"/>
        </w:rPr>
        <w:t>當局在報告中再次重申社會對全民退休保障意見紛歧，字裡行間暗示</w:t>
      </w:r>
      <w:r w:rsidR="000863EB" w:rsidRPr="002C28A4">
        <w:rPr>
          <w:rFonts w:ascii="Times New Roman" w:eastAsia="標楷體" w:hAnsi="Times New Roman" w:cs="Times New Roman"/>
          <w:sz w:val="25"/>
          <w:szCs w:val="25"/>
        </w:rPr>
        <w:t>政府拒絕訂立全民老年</w:t>
      </w:r>
      <w:r w:rsidR="00ED1869" w:rsidRPr="002C28A4">
        <w:rPr>
          <w:rFonts w:ascii="Times New Roman" w:eastAsia="標楷體" w:hAnsi="Times New Roman" w:cs="Times New Roman"/>
          <w:sz w:val="25"/>
          <w:szCs w:val="25"/>
        </w:rPr>
        <w:t>金；</w:t>
      </w:r>
      <w:r w:rsidR="003C7E00" w:rsidRPr="002C28A4">
        <w:rPr>
          <w:rFonts w:ascii="Times New Roman" w:eastAsia="標楷體" w:hAnsi="Times New Roman" w:cs="Times New Roman"/>
          <w:sz w:val="25"/>
          <w:szCs w:val="25"/>
        </w:rPr>
        <w:t>社會大眾對任何公共政策均有不同意見，</w:t>
      </w:r>
      <w:r w:rsidR="00ED1869" w:rsidRPr="002C28A4">
        <w:rPr>
          <w:rFonts w:ascii="Times New Roman" w:eastAsia="標楷體" w:hAnsi="Times New Roman" w:cs="Times New Roman"/>
          <w:sz w:val="25"/>
          <w:szCs w:val="25"/>
        </w:rPr>
        <w:t>全民退休保障計劃</w:t>
      </w:r>
      <w:r w:rsidR="003C7E00" w:rsidRPr="002C28A4">
        <w:rPr>
          <w:rFonts w:ascii="Times New Roman" w:eastAsia="標楷體" w:hAnsi="Times New Roman" w:cs="Times New Roman"/>
          <w:sz w:val="25"/>
          <w:szCs w:val="25"/>
        </w:rPr>
        <w:t>亦已</w:t>
      </w:r>
      <w:r w:rsidR="00ED1869" w:rsidRPr="002C28A4">
        <w:rPr>
          <w:rFonts w:ascii="Times New Roman" w:eastAsia="標楷體" w:hAnsi="Times New Roman" w:cs="Times New Roman"/>
          <w:sz w:val="25"/>
          <w:szCs w:val="25"/>
        </w:rPr>
        <w:t>討論二十多年，政府應就</w:t>
      </w:r>
      <w:r w:rsidR="00E544C9" w:rsidRPr="002C28A4">
        <w:rPr>
          <w:rFonts w:ascii="Times New Roman" w:eastAsia="標楷體" w:hAnsi="Times New Roman" w:cs="Times New Roman"/>
          <w:sz w:val="25"/>
          <w:szCs w:val="25"/>
        </w:rPr>
        <w:t>計劃表</w:t>
      </w:r>
      <w:r w:rsidR="00ED1A2E" w:rsidRPr="002C28A4">
        <w:rPr>
          <w:rFonts w:ascii="Times New Roman" w:eastAsia="標楷體" w:hAnsi="Times New Roman" w:cs="Times New Roman"/>
          <w:sz w:val="25"/>
          <w:szCs w:val="25"/>
        </w:rPr>
        <w:t>態，體現對市民退休生活保障的承擔，如今推諉至今年下半年進行公眾諮詢，</w:t>
      </w:r>
      <w:r w:rsidR="002155EE" w:rsidRPr="002C28A4">
        <w:rPr>
          <w:rFonts w:ascii="Times New Roman" w:eastAsia="標楷體" w:hAnsi="Times New Roman" w:cs="Times New Roman"/>
          <w:sz w:val="25"/>
          <w:szCs w:val="25"/>
        </w:rPr>
        <w:t>至今未有表達官方立場，做法</w:t>
      </w:r>
      <w:r w:rsidR="00ED1869" w:rsidRPr="002C28A4">
        <w:rPr>
          <w:rFonts w:ascii="Times New Roman" w:eastAsia="標楷體" w:hAnsi="Times New Roman" w:cs="Times New Roman"/>
          <w:sz w:val="25"/>
          <w:szCs w:val="25"/>
        </w:rPr>
        <w:t>令人失望。</w:t>
      </w:r>
      <w:r w:rsidR="007D3ED3" w:rsidRPr="002C28A4">
        <w:rPr>
          <w:rFonts w:ascii="Times New Roman" w:eastAsia="標楷體" w:hAnsi="Times New Roman" w:cs="Times New Roman"/>
          <w:sz w:val="25"/>
          <w:szCs w:val="25"/>
        </w:rPr>
        <w:t>報告指出僱主和僱員都抗拒供款，事實上，當局可從增加利得稅著手。由於本港利得稅稅率處於近全球最低水平，以</w:t>
      </w:r>
      <w:r w:rsidR="007D3ED3" w:rsidRPr="002C28A4">
        <w:rPr>
          <w:rFonts w:ascii="Times New Roman" w:eastAsia="標楷體" w:hAnsi="Times New Roman" w:cs="Times New Roman"/>
          <w:sz w:val="25"/>
          <w:szCs w:val="25"/>
        </w:rPr>
        <w:t>2013-14</w:t>
      </w:r>
      <w:r w:rsidR="007D3ED3" w:rsidRPr="002C28A4">
        <w:rPr>
          <w:rFonts w:ascii="Times New Roman" w:eastAsia="標楷體" w:hAnsi="Times New Roman" w:cs="Times New Roman"/>
          <w:sz w:val="25"/>
          <w:szCs w:val="25"/>
        </w:rPr>
        <w:t>年度</w:t>
      </w:r>
      <w:r w:rsidR="007D3ED3" w:rsidRPr="002C28A4">
        <w:rPr>
          <w:rFonts w:ascii="Times New Roman" w:eastAsia="標楷體" w:hAnsi="Times New Roman" w:cs="Times New Roman"/>
          <w:sz w:val="25"/>
          <w:szCs w:val="25"/>
        </w:rPr>
        <w:t>(</w:t>
      </w:r>
      <w:r w:rsidR="007D3ED3" w:rsidRPr="002C28A4">
        <w:rPr>
          <w:rFonts w:ascii="Times New Roman" w:eastAsia="標楷體" w:hAnsi="Times New Roman" w:cs="Times New Roman"/>
          <w:sz w:val="25"/>
          <w:szCs w:val="25"/>
        </w:rPr>
        <w:t>修訂預算</w:t>
      </w:r>
      <w:r w:rsidR="007D3ED3" w:rsidRPr="002C28A4">
        <w:rPr>
          <w:rFonts w:ascii="Times New Roman" w:eastAsia="標楷體" w:hAnsi="Times New Roman" w:cs="Times New Roman"/>
          <w:sz w:val="25"/>
          <w:szCs w:val="25"/>
        </w:rPr>
        <w:t>)</w:t>
      </w:r>
      <w:r w:rsidR="007D3ED3" w:rsidRPr="002C28A4">
        <w:rPr>
          <w:rFonts w:ascii="Times New Roman" w:eastAsia="標楷體" w:hAnsi="Times New Roman" w:cs="Times New Roman"/>
          <w:sz w:val="25"/>
          <w:szCs w:val="25"/>
        </w:rPr>
        <w:t>的利得稅為</w:t>
      </w:r>
      <w:r w:rsidR="007D3ED3" w:rsidRPr="002C28A4">
        <w:rPr>
          <w:rFonts w:ascii="Times New Roman" w:eastAsia="標楷體" w:hAnsi="Times New Roman" w:cs="Times New Roman"/>
          <w:sz w:val="25"/>
          <w:szCs w:val="25"/>
        </w:rPr>
        <w:t>1,195</w:t>
      </w:r>
      <w:r w:rsidR="007D3ED3" w:rsidRPr="002C28A4">
        <w:rPr>
          <w:rFonts w:ascii="Times New Roman" w:eastAsia="標楷體" w:hAnsi="Times New Roman" w:cs="Times New Roman"/>
          <w:sz w:val="25"/>
          <w:szCs w:val="25"/>
        </w:rPr>
        <w:t>億港元為例，若增加</w:t>
      </w:r>
      <w:r w:rsidR="007D3ED3" w:rsidRPr="002C28A4">
        <w:rPr>
          <w:rFonts w:ascii="Times New Roman" w:eastAsia="標楷體" w:hAnsi="Times New Roman" w:cs="Times New Roman"/>
          <w:sz w:val="25"/>
          <w:szCs w:val="25"/>
        </w:rPr>
        <w:t>1%</w:t>
      </w:r>
      <w:r w:rsidR="007D3ED3" w:rsidRPr="002C28A4">
        <w:rPr>
          <w:rFonts w:ascii="Times New Roman" w:eastAsia="標楷體" w:hAnsi="Times New Roman" w:cs="Times New Roman"/>
          <w:sz w:val="25"/>
          <w:szCs w:val="25"/>
        </w:rPr>
        <w:t>，利得稅每年便可增加約</w:t>
      </w:r>
      <w:r w:rsidR="007D3ED3" w:rsidRPr="002C28A4">
        <w:rPr>
          <w:rFonts w:ascii="Times New Roman" w:eastAsia="標楷體" w:hAnsi="Times New Roman" w:cs="Times New Roman"/>
          <w:sz w:val="25"/>
          <w:szCs w:val="25"/>
        </w:rPr>
        <w:t>70</w:t>
      </w:r>
      <w:r w:rsidR="007D3ED3" w:rsidRPr="002C28A4">
        <w:rPr>
          <w:rFonts w:ascii="Times New Roman" w:eastAsia="標楷體" w:hAnsi="Times New Roman" w:cs="Times New Roman"/>
          <w:sz w:val="25"/>
          <w:szCs w:val="25"/>
        </w:rPr>
        <w:t>億港元，有助增加稅收來源。事實上，由</w:t>
      </w:r>
      <w:r w:rsidR="007D3ED3" w:rsidRPr="002C28A4">
        <w:rPr>
          <w:rFonts w:ascii="Times New Roman" w:eastAsia="標楷體" w:hAnsi="Times New Roman" w:cs="Times New Roman"/>
          <w:sz w:val="25"/>
          <w:szCs w:val="25"/>
        </w:rPr>
        <w:t>2008-09</w:t>
      </w:r>
      <w:r w:rsidR="007D3ED3" w:rsidRPr="002C28A4">
        <w:rPr>
          <w:rFonts w:ascii="Times New Roman" w:eastAsia="標楷體" w:hAnsi="Times New Roman" w:cs="Times New Roman"/>
          <w:sz w:val="25"/>
          <w:szCs w:val="25"/>
        </w:rPr>
        <w:t>年度削減</w:t>
      </w:r>
      <w:r w:rsidR="007D3ED3" w:rsidRPr="002C28A4">
        <w:rPr>
          <w:rFonts w:ascii="Times New Roman" w:eastAsia="標楷體" w:hAnsi="Times New Roman" w:cs="Times New Roman"/>
          <w:sz w:val="25"/>
          <w:szCs w:val="25"/>
        </w:rPr>
        <w:t>1%</w:t>
      </w:r>
      <w:r w:rsidR="007D3ED3" w:rsidRPr="002C28A4">
        <w:rPr>
          <w:rFonts w:ascii="Times New Roman" w:eastAsia="標楷體" w:hAnsi="Times New Roman" w:cs="Times New Roman"/>
          <w:sz w:val="25"/>
          <w:szCs w:val="25"/>
        </w:rPr>
        <w:t>利得稅後，往後六年政府庫房共少收了約</w:t>
      </w:r>
      <w:r w:rsidR="007D3ED3" w:rsidRPr="002C28A4">
        <w:rPr>
          <w:rFonts w:ascii="Times New Roman" w:eastAsia="標楷體" w:hAnsi="Times New Roman" w:cs="Times New Roman"/>
          <w:sz w:val="25"/>
          <w:szCs w:val="25"/>
        </w:rPr>
        <w:t>400</w:t>
      </w:r>
      <w:r w:rsidR="007D3ED3" w:rsidRPr="002C28A4">
        <w:rPr>
          <w:rFonts w:ascii="Times New Roman" w:eastAsia="標楷體" w:hAnsi="Times New Roman" w:cs="Times New Roman"/>
          <w:sz w:val="25"/>
          <w:szCs w:val="25"/>
        </w:rPr>
        <w:t>億元，金額足以在現時推行全民老年金的一年開支。</w:t>
      </w:r>
      <w:r w:rsidR="007D3ED3" w:rsidRPr="002C28A4">
        <w:rPr>
          <w:rStyle w:val="a9"/>
          <w:rFonts w:ascii="Times New Roman" w:eastAsia="標楷體" w:hAnsi="Times New Roman" w:cs="Times New Roman"/>
          <w:sz w:val="25"/>
          <w:szCs w:val="25"/>
        </w:rPr>
        <w:footnoteReference w:id="1"/>
      </w:r>
      <w:r w:rsidR="007D3ED3" w:rsidRPr="002C28A4">
        <w:rPr>
          <w:rFonts w:ascii="Times New Roman" w:eastAsia="標楷體" w:hAnsi="Times New Roman" w:cs="Times New Roman"/>
          <w:sz w:val="25"/>
          <w:szCs w:val="25"/>
        </w:rPr>
        <w:t>當局必須引</w:t>
      </w:r>
      <w:r w:rsidR="007D3ED3" w:rsidRPr="002C28A4">
        <w:rPr>
          <w:rFonts w:ascii="Times New Roman" w:eastAsia="標楷體" w:hAnsi="Times New Roman" w:cs="Times New Roman"/>
          <w:sz w:val="25"/>
          <w:szCs w:val="25"/>
        </w:rPr>
        <w:lastRenderedPageBreak/>
        <w:t>入多元收入的思維模式，</w:t>
      </w:r>
      <w:r w:rsidR="003122A3" w:rsidRPr="002C28A4">
        <w:rPr>
          <w:rFonts w:ascii="Times New Roman" w:eastAsia="標楷體" w:hAnsi="Times New Roman" w:cs="Times New Roman"/>
          <w:sz w:val="25"/>
          <w:szCs w:val="25"/>
        </w:rPr>
        <w:t>否則最終亦要由政府承擔。</w:t>
      </w:r>
    </w:p>
    <w:p w:rsidR="003C7E00" w:rsidRPr="002C28A4" w:rsidRDefault="003C7E00" w:rsidP="002C28A4">
      <w:pPr>
        <w:spacing w:line="300" w:lineRule="exact"/>
        <w:jc w:val="both"/>
        <w:rPr>
          <w:rFonts w:ascii="Times New Roman" w:eastAsia="標楷體" w:hAnsi="Times New Roman" w:cs="Times New Roman"/>
          <w:sz w:val="25"/>
          <w:szCs w:val="25"/>
        </w:rPr>
      </w:pPr>
    </w:p>
    <w:p w:rsidR="00C216F6" w:rsidRPr="002C28A4" w:rsidRDefault="00C216F6" w:rsidP="002C28A4">
      <w:pPr>
        <w:pStyle w:val="a3"/>
        <w:numPr>
          <w:ilvl w:val="0"/>
          <w:numId w:val="3"/>
        </w:numPr>
        <w:spacing w:line="300" w:lineRule="exact"/>
        <w:ind w:leftChars="0"/>
        <w:jc w:val="both"/>
        <w:rPr>
          <w:rFonts w:ascii="Times New Roman" w:eastAsia="標楷體" w:hAnsi="Times New Roman" w:cs="Times New Roman"/>
          <w:b/>
          <w:sz w:val="25"/>
          <w:szCs w:val="25"/>
        </w:rPr>
      </w:pPr>
      <w:r w:rsidRPr="002C28A4">
        <w:rPr>
          <w:rFonts w:ascii="Times New Roman" w:eastAsia="標楷體" w:hAnsi="Times New Roman" w:cs="Times New Roman"/>
          <w:b/>
          <w:sz w:val="25"/>
          <w:szCs w:val="25"/>
        </w:rPr>
        <w:t>房屋政策欠中短期措施</w:t>
      </w:r>
      <w:r w:rsidRPr="002C28A4">
        <w:rPr>
          <w:rFonts w:ascii="Times New Roman" w:eastAsia="標楷體" w:hAnsi="Times New Roman" w:cs="Times New Roman"/>
          <w:b/>
          <w:sz w:val="25"/>
          <w:szCs w:val="25"/>
        </w:rPr>
        <w:t xml:space="preserve"> </w:t>
      </w:r>
      <w:r w:rsidR="00662B2C" w:rsidRPr="002C28A4">
        <w:rPr>
          <w:rFonts w:ascii="Times New Roman" w:eastAsia="標楷體" w:hAnsi="Times New Roman" w:cs="Times New Roman"/>
          <w:b/>
          <w:sz w:val="25"/>
          <w:szCs w:val="25"/>
        </w:rPr>
        <w:t xml:space="preserve"> </w:t>
      </w:r>
      <w:r w:rsidR="00662B2C" w:rsidRPr="002C28A4">
        <w:rPr>
          <w:rFonts w:ascii="Times New Roman" w:eastAsia="標楷體" w:hAnsi="Times New Roman" w:cs="Times New Roman"/>
          <w:b/>
          <w:sz w:val="25"/>
          <w:szCs w:val="25"/>
        </w:rPr>
        <w:t>廉價</w:t>
      </w:r>
      <w:r w:rsidR="00532CFF" w:rsidRPr="002C28A4">
        <w:rPr>
          <w:rFonts w:ascii="Times New Roman" w:eastAsia="標楷體" w:hAnsi="Times New Roman" w:cs="Times New Roman"/>
          <w:b/>
          <w:sz w:val="25"/>
          <w:szCs w:val="25"/>
        </w:rPr>
        <w:t>居屋計劃損害公屋輪候冊家庭</w:t>
      </w:r>
      <w:r w:rsidR="003A3903" w:rsidRPr="002C28A4">
        <w:rPr>
          <w:rFonts w:ascii="Times New Roman" w:eastAsia="標楷體" w:hAnsi="Times New Roman" w:cs="Times New Roman"/>
          <w:b/>
          <w:sz w:val="25"/>
          <w:szCs w:val="25"/>
        </w:rPr>
        <w:t>福祉</w:t>
      </w:r>
    </w:p>
    <w:p w:rsidR="00E229A5" w:rsidRPr="002C28A4" w:rsidRDefault="00E229A5" w:rsidP="002C28A4">
      <w:pPr>
        <w:pStyle w:val="a3"/>
        <w:spacing w:line="300" w:lineRule="exact"/>
        <w:ind w:leftChars="0" w:left="360"/>
        <w:jc w:val="both"/>
        <w:rPr>
          <w:rFonts w:ascii="Times New Roman" w:eastAsia="標楷體" w:hAnsi="Times New Roman" w:cs="Times New Roman"/>
          <w:b/>
          <w:sz w:val="25"/>
          <w:szCs w:val="25"/>
        </w:rPr>
      </w:pPr>
    </w:p>
    <w:p w:rsidR="00E229A5" w:rsidRPr="002C28A4" w:rsidRDefault="00E229A5" w:rsidP="002C28A4">
      <w:pPr>
        <w:spacing w:line="300" w:lineRule="exact"/>
        <w:ind w:firstLine="360"/>
        <w:jc w:val="both"/>
        <w:rPr>
          <w:rFonts w:ascii="Times New Roman" w:eastAsia="標楷體" w:hAnsi="Times New Roman" w:cs="Times New Roman"/>
          <w:sz w:val="25"/>
          <w:szCs w:val="25"/>
        </w:rPr>
      </w:pPr>
      <w:r w:rsidRPr="002C28A4">
        <w:rPr>
          <w:rFonts w:ascii="Times New Roman" w:eastAsia="標楷體" w:hAnsi="Times New Roman" w:cs="Times New Roman"/>
          <w:sz w:val="25"/>
          <w:szCs w:val="25"/>
        </w:rPr>
        <w:t>報告再次重申特區政府重視房屋問題，</w:t>
      </w:r>
      <w:r w:rsidR="00E329FF" w:rsidRPr="002C28A4">
        <w:rPr>
          <w:rFonts w:ascii="Times New Roman" w:eastAsia="標楷體" w:hAnsi="Times New Roman" w:cs="Times New Roman"/>
          <w:sz w:val="25"/>
          <w:szCs w:val="25"/>
        </w:rPr>
        <w:t>惟未來五年平均每年公屋供應僅約</w:t>
      </w:r>
      <w:r w:rsidR="00E329FF" w:rsidRPr="002C28A4">
        <w:rPr>
          <w:rFonts w:ascii="Times New Roman" w:eastAsia="標楷體" w:hAnsi="Times New Roman" w:cs="Times New Roman"/>
          <w:sz w:val="25"/>
          <w:szCs w:val="25"/>
        </w:rPr>
        <w:t>17,000</w:t>
      </w:r>
      <w:r w:rsidR="00E329FF" w:rsidRPr="002C28A4">
        <w:rPr>
          <w:rFonts w:ascii="Times New Roman" w:eastAsia="標楷體" w:hAnsi="Times New Roman" w:cs="Times New Roman"/>
          <w:sz w:val="25"/>
          <w:szCs w:val="25"/>
        </w:rPr>
        <w:t>多個，與前行政長官曾蔭權決定每年供應公屋單位</w:t>
      </w:r>
      <w:r w:rsidR="00E329FF" w:rsidRPr="002C28A4">
        <w:rPr>
          <w:rFonts w:ascii="Times New Roman" w:eastAsia="標楷體" w:hAnsi="Times New Roman" w:cs="Times New Roman"/>
          <w:sz w:val="25"/>
          <w:szCs w:val="25"/>
        </w:rPr>
        <w:t>15,000</w:t>
      </w:r>
      <w:r w:rsidR="00E329FF" w:rsidRPr="002C28A4">
        <w:rPr>
          <w:rFonts w:ascii="Times New Roman" w:eastAsia="標楷體" w:hAnsi="Times New Roman" w:cs="Times New Roman"/>
          <w:sz w:val="25"/>
          <w:szCs w:val="25"/>
        </w:rPr>
        <w:t>個僅增加兩千多個，對於現時多達</w:t>
      </w:r>
      <w:r w:rsidR="00E329FF" w:rsidRPr="002C28A4">
        <w:rPr>
          <w:rFonts w:ascii="Times New Roman" w:eastAsia="標楷體" w:hAnsi="Times New Roman" w:cs="Times New Roman"/>
          <w:sz w:val="25"/>
          <w:szCs w:val="25"/>
        </w:rPr>
        <w:t>26</w:t>
      </w:r>
      <w:r w:rsidR="00E329FF" w:rsidRPr="002C28A4">
        <w:rPr>
          <w:rFonts w:ascii="Times New Roman" w:eastAsia="標楷體" w:hAnsi="Times New Roman" w:cs="Times New Roman"/>
          <w:sz w:val="25"/>
          <w:szCs w:val="25"/>
        </w:rPr>
        <w:t>萬多戶的公屋輪候冊申請家庭，可謂杯水車薪。此外，報告一</w:t>
      </w:r>
      <w:r w:rsidRPr="002C28A4">
        <w:rPr>
          <w:rFonts w:ascii="Times New Roman" w:eastAsia="標楷體" w:hAnsi="Times New Roman" w:cs="Times New Roman"/>
          <w:sz w:val="25"/>
          <w:szCs w:val="25"/>
        </w:rPr>
        <w:t>再強調要</w:t>
      </w:r>
      <w:r w:rsidR="00BD2001" w:rsidRPr="002C28A4">
        <w:rPr>
          <w:rFonts w:ascii="Times New Roman" w:eastAsia="標楷體" w:hAnsi="Times New Roman" w:cs="Times New Roman"/>
          <w:sz w:val="25"/>
          <w:szCs w:val="25"/>
        </w:rPr>
        <w:t>加強</w:t>
      </w:r>
      <w:r w:rsidRPr="002C28A4">
        <w:rPr>
          <w:rFonts w:ascii="Times New Roman" w:eastAsia="標楷體" w:hAnsi="Times New Roman" w:cs="Times New Roman"/>
          <w:sz w:val="25"/>
          <w:szCs w:val="25"/>
        </w:rPr>
        <w:t>執法處理違</w:t>
      </w:r>
      <w:r w:rsidR="00BD2001" w:rsidRPr="002C28A4">
        <w:rPr>
          <w:rFonts w:ascii="Times New Roman" w:eastAsia="標楷體" w:hAnsi="Times New Roman" w:cs="Times New Roman"/>
          <w:sz w:val="25"/>
          <w:szCs w:val="25"/>
        </w:rPr>
        <w:t>規</w:t>
      </w:r>
      <w:r w:rsidRPr="002C28A4">
        <w:rPr>
          <w:rFonts w:ascii="Times New Roman" w:eastAsia="標楷體" w:hAnsi="Times New Roman" w:cs="Times New Roman"/>
          <w:sz w:val="25"/>
          <w:szCs w:val="25"/>
        </w:rPr>
        <w:t>劏房，惟並未有提及任何中短期房屋措施，亦</w:t>
      </w:r>
      <w:r w:rsidR="0016575C" w:rsidRPr="002C28A4">
        <w:rPr>
          <w:rFonts w:ascii="Times New Roman" w:eastAsia="標楷體" w:hAnsi="Times New Roman" w:cs="Times New Roman"/>
          <w:sz w:val="25"/>
          <w:szCs w:val="25"/>
        </w:rPr>
        <w:t>無</w:t>
      </w:r>
      <w:r w:rsidRPr="002C28A4">
        <w:rPr>
          <w:rFonts w:ascii="Times New Roman" w:eastAsia="標楷體" w:hAnsi="Times New Roman" w:cs="Times New Roman"/>
          <w:sz w:val="25"/>
          <w:szCs w:val="25"/>
        </w:rPr>
        <w:t>提及如何為</w:t>
      </w:r>
      <w:r w:rsidR="00200435" w:rsidRPr="002C28A4">
        <w:rPr>
          <w:rFonts w:ascii="Times New Roman" w:eastAsia="標楷體" w:hAnsi="Times New Roman" w:cs="Times New Roman"/>
          <w:sz w:val="25"/>
          <w:szCs w:val="25"/>
        </w:rPr>
        <w:t>飽受昂貴私樓租金的劏房、板間房家庭提供協助，令人失望。</w:t>
      </w:r>
      <w:r w:rsidR="007950CD" w:rsidRPr="002C28A4">
        <w:rPr>
          <w:rFonts w:ascii="Times New Roman" w:eastAsia="標楷體" w:hAnsi="Times New Roman" w:cs="Times New Roman"/>
          <w:sz w:val="25"/>
          <w:szCs w:val="25"/>
        </w:rPr>
        <w:t>另</w:t>
      </w:r>
      <w:r w:rsidR="00532CFF" w:rsidRPr="002C28A4">
        <w:rPr>
          <w:rFonts w:ascii="Times New Roman" w:eastAsia="標楷體" w:hAnsi="Times New Roman" w:cs="Times New Roman"/>
          <w:sz w:val="25"/>
          <w:szCs w:val="25"/>
        </w:rPr>
        <w:t>外，</w:t>
      </w:r>
      <w:r w:rsidR="003377C9" w:rsidRPr="002C28A4">
        <w:rPr>
          <w:rFonts w:ascii="Times New Roman" w:eastAsia="標楷體" w:hAnsi="Times New Roman" w:cs="Times New Roman"/>
          <w:sz w:val="25"/>
          <w:szCs w:val="25"/>
        </w:rPr>
        <w:t>對於</w:t>
      </w:r>
      <w:r w:rsidR="007950CD" w:rsidRPr="002C28A4">
        <w:rPr>
          <w:rFonts w:ascii="Times New Roman" w:eastAsia="標楷體" w:hAnsi="Times New Roman" w:cs="Times New Roman"/>
          <w:sz w:val="25"/>
          <w:szCs w:val="25"/>
        </w:rPr>
        <w:t>政府建議房委會推出另類</w:t>
      </w:r>
      <w:r w:rsidR="00662B2C" w:rsidRPr="002C28A4">
        <w:rPr>
          <w:rFonts w:ascii="Times New Roman" w:eastAsia="標楷體" w:hAnsi="Times New Roman" w:cs="Times New Roman"/>
          <w:sz w:val="25"/>
          <w:szCs w:val="25"/>
        </w:rPr>
        <w:t>廉價居屋計劃</w:t>
      </w:r>
      <w:r w:rsidR="007950CD" w:rsidRPr="002C28A4">
        <w:rPr>
          <w:rFonts w:ascii="Times New Roman" w:eastAsia="標楷體" w:hAnsi="Times New Roman" w:cs="Times New Roman"/>
          <w:sz w:val="25"/>
          <w:szCs w:val="25"/>
        </w:rPr>
        <w:t>，選擇合適的正在興建公屋項目，以先導計劃形式，出售予現有公屋租戶，</w:t>
      </w:r>
      <w:r w:rsidR="004B7F5E" w:rsidRPr="002C28A4">
        <w:rPr>
          <w:rFonts w:ascii="Times New Roman" w:eastAsia="標楷體" w:hAnsi="Times New Roman" w:cs="Times New Roman"/>
          <w:sz w:val="25"/>
          <w:szCs w:val="25"/>
        </w:rPr>
        <w:t>本會反對此計劃，原因是</w:t>
      </w:r>
      <w:r w:rsidR="00281B19" w:rsidRPr="002C28A4">
        <w:rPr>
          <w:rFonts w:ascii="Times New Roman" w:eastAsia="標楷體" w:hAnsi="Times New Roman" w:cs="Times New Roman"/>
          <w:sz w:val="25"/>
          <w:szCs w:val="25"/>
        </w:rPr>
        <w:t>計劃既無助增加出租公屋供應，</w:t>
      </w:r>
      <w:r w:rsidR="009C0E6C" w:rsidRPr="002C28A4">
        <w:rPr>
          <w:rFonts w:ascii="Times New Roman" w:eastAsia="標楷體" w:hAnsi="Times New Roman" w:cs="Times New Roman"/>
          <w:sz w:val="25"/>
          <w:szCs w:val="25"/>
        </w:rPr>
        <w:t>由於需安排原公屋居民購買新單位，</w:t>
      </w:r>
      <w:r w:rsidR="008447F3" w:rsidRPr="002C28A4">
        <w:rPr>
          <w:rFonts w:ascii="Times New Roman" w:eastAsia="標楷體" w:hAnsi="Times New Roman" w:cs="Times New Roman"/>
          <w:sz w:val="25"/>
          <w:szCs w:val="25"/>
        </w:rPr>
        <w:t>騰出舊有單位、翻新後再</w:t>
      </w:r>
      <w:r w:rsidR="00B21CFD" w:rsidRPr="002C28A4">
        <w:rPr>
          <w:rFonts w:ascii="Times New Roman" w:eastAsia="標楷體" w:hAnsi="Times New Roman" w:cs="Times New Roman"/>
          <w:sz w:val="25"/>
          <w:szCs w:val="25"/>
        </w:rPr>
        <w:t>編配給</w:t>
      </w:r>
      <w:r w:rsidR="00E75563" w:rsidRPr="002C28A4">
        <w:rPr>
          <w:rFonts w:ascii="Times New Roman" w:eastAsia="標楷體" w:hAnsi="Times New Roman" w:cs="Times New Roman"/>
          <w:sz w:val="25"/>
          <w:szCs w:val="25"/>
        </w:rPr>
        <w:t>輪候冊</w:t>
      </w:r>
      <w:r w:rsidR="00B54AA3" w:rsidRPr="002C28A4">
        <w:rPr>
          <w:rFonts w:ascii="Times New Roman" w:eastAsia="標楷體" w:hAnsi="Times New Roman" w:cs="Times New Roman"/>
          <w:sz w:val="25"/>
          <w:szCs w:val="25"/>
        </w:rPr>
        <w:t>家庭，導致</w:t>
      </w:r>
      <w:r w:rsidR="00281B19" w:rsidRPr="002C28A4">
        <w:rPr>
          <w:rFonts w:ascii="Times New Roman" w:eastAsia="標楷體" w:hAnsi="Times New Roman" w:cs="Times New Roman"/>
          <w:sz w:val="25"/>
          <w:szCs w:val="25"/>
        </w:rPr>
        <w:t>減</w:t>
      </w:r>
      <w:r w:rsidR="00110D80" w:rsidRPr="002C28A4">
        <w:rPr>
          <w:rFonts w:ascii="Times New Roman" w:eastAsia="標楷體" w:hAnsi="Times New Roman" w:cs="Times New Roman"/>
          <w:sz w:val="25"/>
          <w:szCs w:val="25"/>
        </w:rPr>
        <w:t>慢</w:t>
      </w:r>
      <w:r w:rsidR="000C3D8A" w:rsidRPr="002C28A4">
        <w:rPr>
          <w:rFonts w:ascii="Times New Roman" w:eastAsia="標楷體" w:hAnsi="Times New Roman" w:cs="Times New Roman"/>
          <w:sz w:val="25"/>
          <w:szCs w:val="25"/>
        </w:rPr>
        <w:t>了公屋</w:t>
      </w:r>
      <w:r w:rsidR="009C0E6C" w:rsidRPr="002C28A4">
        <w:rPr>
          <w:rFonts w:ascii="Times New Roman" w:eastAsia="標楷體" w:hAnsi="Times New Roman" w:cs="Times New Roman"/>
          <w:sz w:val="25"/>
          <w:szCs w:val="25"/>
        </w:rPr>
        <w:t>單位的</w:t>
      </w:r>
      <w:r w:rsidR="005D429A" w:rsidRPr="002C28A4">
        <w:rPr>
          <w:rFonts w:ascii="Times New Roman" w:eastAsia="標楷體" w:hAnsi="Times New Roman" w:cs="Times New Roman"/>
          <w:sz w:val="25"/>
          <w:szCs w:val="25"/>
        </w:rPr>
        <w:t>流轉。</w:t>
      </w:r>
    </w:p>
    <w:p w:rsidR="00C216F6" w:rsidRPr="002C28A4" w:rsidRDefault="00C216F6" w:rsidP="002C28A4">
      <w:pPr>
        <w:pStyle w:val="a3"/>
        <w:spacing w:line="300" w:lineRule="exact"/>
        <w:ind w:leftChars="0" w:left="360"/>
        <w:jc w:val="both"/>
        <w:rPr>
          <w:rFonts w:ascii="Times New Roman" w:eastAsia="標楷體" w:hAnsi="Times New Roman" w:cs="Times New Roman"/>
          <w:b/>
          <w:sz w:val="25"/>
          <w:szCs w:val="25"/>
        </w:rPr>
      </w:pPr>
    </w:p>
    <w:p w:rsidR="00FC25A9" w:rsidRPr="002C28A4" w:rsidRDefault="00577751" w:rsidP="002C28A4">
      <w:pPr>
        <w:pStyle w:val="a3"/>
        <w:numPr>
          <w:ilvl w:val="0"/>
          <w:numId w:val="3"/>
        </w:numPr>
        <w:spacing w:line="300" w:lineRule="exact"/>
        <w:ind w:leftChars="0"/>
        <w:jc w:val="both"/>
        <w:rPr>
          <w:rFonts w:ascii="Times New Roman" w:eastAsia="標楷體" w:hAnsi="Times New Roman" w:cs="Times New Roman"/>
          <w:b/>
          <w:sz w:val="25"/>
          <w:szCs w:val="25"/>
        </w:rPr>
      </w:pPr>
      <w:r w:rsidRPr="002C28A4">
        <w:rPr>
          <w:rFonts w:ascii="Times New Roman" w:eastAsia="標楷體" w:hAnsi="Times New Roman" w:cs="Times New Roman"/>
          <w:b/>
          <w:sz w:val="25"/>
          <w:szCs w:val="25"/>
        </w:rPr>
        <w:t>安老服務無大改善</w:t>
      </w:r>
      <w:r w:rsidRPr="002C28A4">
        <w:rPr>
          <w:rFonts w:ascii="Times New Roman" w:eastAsia="標楷體" w:hAnsi="Times New Roman" w:cs="Times New Roman"/>
          <w:b/>
          <w:sz w:val="25"/>
          <w:szCs w:val="25"/>
        </w:rPr>
        <w:t xml:space="preserve"> </w:t>
      </w:r>
      <w:r w:rsidR="00902815" w:rsidRPr="002C28A4">
        <w:rPr>
          <w:rFonts w:ascii="Times New Roman" w:eastAsia="標楷體" w:hAnsi="Times New Roman" w:cs="Times New Roman"/>
          <w:b/>
          <w:sz w:val="25"/>
          <w:szCs w:val="25"/>
        </w:rPr>
        <w:t xml:space="preserve"> </w:t>
      </w:r>
      <w:r w:rsidR="00902815" w:rsidRPr="002C28A4">
        <w:rPr>
          <w:rFonts w:ascii="Times New Roman" w:eastAsia="標楷體" w:hAnsi="Times New Roman" w:cs="Times New Roman"/>
          <w:b/>
          <w:sz w:val="25"/>
          <w:szCs w:val="25"/>
        </w:rPr>
        <w:t>去年</w:t>
      </w:r>
      <w:r w:rsidR="00902815" w:rsidRPr="002C28A4">
        <w:rPr>
          <w:rFonts w:ascii="Times New Roman" w:eastAsia="標楷體" w:hAnsi="Times New Roman" w:cs="Times New Roman"/>
          <w:b/>
          <w:sz w:val="25"/>
          <w:szCs w:val="25"/>
        </w:rPr>
        <w:t>5,700</w:t>
      </w:r>
      <w:r w:rsidR="00902815" w:rsidRPr="002C28A4">
        <w:rPr>
          <w:rFonts w:ascii="Times New Roman" w:eastAsia="標楷體" w:hAnsi="Times New Roman" w:cs="Times New Roman"/>
          <w:b/>
          <w:sz w:val="25"/>
          <w:szCs w:val="25"/>
        </w:rPr>
        <w:t>名長者輪候期間離世</w:t>
      </w:r>
    </w:p>
    <w:p w:rsidR="00FC25A9" w:rsidRPr="002C28A4" w:rsidRDefault="00FC25A9" w:rsidP="002C28A4">
      <w:pPr>
        <w:pStyle w:val="a3"/>
        <w:spacing w:line="300" w:lineRule="exact"/>
        <w:ind w:leftChars="0" w:left="360"/>
        <w:jc w:val="both"/>
        <w:rPr>
          <w:rFonts w:ascii="Times New Roman" w:eastAsia="標楷體" w:hAnsi="Times New Roman" w:cs="Times New Roman"/>
          <w:b/>
          <w:sz w:val="25"/>
          <w:szCs w:val="25"/>
        </w:rPr>
      </w:pPr>
    </w:p>
    <w:p w:rsidR="00577751" w:rsidRPr="002C28A4" w:rsidRDefault="00577751" w:rsidP="002C28A4">
      <w:pPr>
        <w:spacing w:line="300" w:lineRule="exact"/>
        <w:ind w:firstLine="480"/>
        <w:jc w:val="both"/>
        <w:rPr>
          <w:rFonts w:ascii="Times New Roman" w:eastAsia="標楷體" w:hAnsi="Times New Roman" w:cs="Times New Roman"/>
          <w:bCs/>
          <w:sz w:val="25"/>
          <w:szCs w:val="25"/>
          <w:lang w:eastAsia="zh-Hans"/>
        </w:rPr>
      </w:pPr>
      <w:r w:rsidRPr="002C28A4">
        <w:rPr>
          <w:rFonts w:ascii="Times New Roman" w:eastAsia="標楷體" w:hAnsi="Times New Roman" w:cs="Times New Roman"/>
          <w:sz w:val="25"/>
          <w:szCs w:val="25"/>
        </w:rPr>
        <w:t>在安老院舍資助宿位方面，施政報告再次重申考慮由</w:t>
      </w:r>
      <w:r w:rsidRPr="002C28A4">
        <w:rPr>
          <w:rFonts w:ascii="Times New Roman" w:eastAsia="標楷體" w:hAnsi="Times New Roman" w:cs="Times New Roman"/>
          <w:sz w:val="25"/>
          <w:szCs w:val="25"/>
        </w:rPr>
        <w:t>2015-16</w:t>
      </w:r>
      <w:r w:rsidRPr="002C28A4">
        <w:rPr>
          <w:rFonts w:ascii="Times New Roman" w:eastAsia="標楷體" w:hAnsi="Times New Roman" w:cs="Times New Roman"/>
          <w:sz w:val="25"/>
          <w:szCs w:val="25"/>
        </w:rPr>
        <w:t>至</w:t>
      </w:r>
      <w:r w:rsidRPr="002C28A4">
        <w:rPr>
          <w:rFonts w:ascii="Times New Roman" w:eastAsia="標楷體" w:hAnsi="Times New Roman" w:cs="Times New Roman"/>
          <w:sz w:val="25"/>
          <w:szCs w:val="25"/>
        </w:rPr>
        <w:t>2017-18</w:t>
      </w:r>
      <w:r w:rsidRPr="002C28A4">
        <w:rPr>
          <w:rFonts w:ascii="Times New Roman" w:eastAsia="標楷體" w:hAnsi="Times New Roman" w:cs="Times New Roman"/>
          <w:sz w:val="25"/>
          <w:szCs w:val="25"/>
        </w:rPr>
        <w:t>年度，</w:t>
      </w:r>
      <w:r w:rsidRPr="002C28A4">
        <w:rPr>
          <w:rFonts w:ascii="Times New Roman" w:eastAsia="標楷體" w:hAnsi="Times New Roman" w:cs="Times New Roman"/>
          <w:color w:val="000000"/>
          <w:sz w:val="25"/>
          <w:szCs w:val="25"/>
        </w:rPr>
        <w:t>共推出</w:t>
      </w:r>
      <w:r w:rsidRPr="002C28A4">
        <w:rPr>
          <w:rFonts w:ascii="Times New Roman" w:eastAsia="標楷體" w:hAnsi="Times New Roman" w:cs="Times New Roman"/>
          <w:color w:val="000000"/>
          <w:sz w:val="25"/>
          <w:szCs w:val="25"/>
        </w:rPr>
        <w:t>3,000</w:t>
      </w:r>
      <w:r w:rsidRPr="002C28A4">
        <w:rPr>
          <w:rFonts w:ascii="Times New Roman" w:eastAsia="標楷體" w:hAnsi="Times New Roman" w:cs="Times New Roman"/>
          <w:color w:val="000000"/>
          <w:sz w:val="25"/>
          <w:szCs w:val="25"/>
        </w:rPr>
        <w:t>張院舍住宿照顧服務券，</w:t>
      </w:r>
      <w:r w:rsidR="007C0D8B" w:rsidRPr="002C28A4">
        <w:rPr>
          <w:rFonts w:ascii="Times New Roman" w:eastAsia="標楷體" w:hAnsi="Times New Roman" w:cs="Times New Roman"/>
          <w:color w:val="000000"/>
          <w:sz w:val="25"/>
          <w:szCs w:val="25"/>
        </w:rPr>
        <w:t>並</w:t>
      </w:r>
      <w:r w:rsidR="001E5352" w:rsidRPr="002C28A4">
        <w:rPr>
          <w:rFonts w:ascii="Times New Roman" w:eastAsia="標楷體" w:hAnsi="Times New Roman" w:cs="Times New Roman"/>
          <w:color w:val="000000"/>
          <w:sz w:val="25"/>
          <w:szCs w:val="25"/>
        </w:rPr>
        <w:t>期在</w:t>
      </w:r>
      <w:r w:rsidR="00420D91" w:rsidRPr="002C28A4">
        <w:rPr>
          <w:rFonts w:ascii="Times New Roman" w:eastAsia="標楷體" w:hAnsi="Times New Roman" w:cs="Times New Roman"/>
          <w:color w:val="000000"/>
          <w:sz w:val="25"/>
          <w:szCs w:val="25"/>
        </w:rPr>
        <w:t>2017</w:t>
      </w:r>
      <w:r w:rsidR="00420D91" w:rsidRPr="002C28A4">
        <w:rPr>
          <w:rFonts w:ascii="Times New Roman" w:eastAsia="標楷體" w:hAnsi="Times New Roman" w:cs="Times New Roman"/>
          <w:color w:val="000000"/>
          <w:sz w:val="25"/>
          <w:szCs w:val="25"/>
        </w:rPr>
        <w:t>年或以前</w:t>
      </w:r>
      <w:r w:rsidRPr="002C28A4">
        <w:rPr>
          <w:rFonts w:ascii="Times New Roman" w:eastAsia="標楷體" w:hAnsi="Times New Roman" w:cs="Times New Roman"/>
          <w:color w:val="000000"/>
          <w:sz w:val="25"/>
          <w:szCs w:val="25"/>
        </w:rPr>
        <w:t>增加約</w:t>
      </w:r>
      <w:r w:rsidRPr="002C28A4">
        <w:rPr>
          <w:rFonts w:ascii="Times New Roman" w:eastAsia="標楷體" w:hAnsi="Times New Roman" w:cs="Times New Roman"/>
          <w:color w:val="000000"/>
          <w:sz w:val="25"/>
          <w:szCs w:val="25"/>
        </w:rPr>
        <w:t>5,000</w:t>
      </w:r>
      <w:r w:rsidR="00563191" w:rsidRPr="002C28A4">
        <w:rPr>
          <w:rFonts w:ascii="Times New Roman" w:eastAsia="標楷體" w:hAnsi="Times New Roman" w:cs="Times New Roman"/>
          <w:color w:val="000000"/>
          <w:sz w:val="25"/>
          <w:szCs w:val="25"/>
        </w:rPr>
        <w:t>個資助安老宿位</w:t>
      </w:r>
      <w:r w:rsidRPr="002C28A4">
        <w:rPr>
          <w:rFonts w:ascii="Times New Roman" w:eastAsia="標楷體" w:hAnsi="Times New Roman" w:cs="Times New Roman"/>
          <w:sz w:val="25"/>
          <w:szCs w:val="25"/>
        </w:rPr>
        <w:t>；然而，由於現時輪候資助安老院舍的長者已多達</w:t>
      </w:r>
      <w:r w:rsidR="00BC0B25" w:rsidRPr="002C28A4">
        <w:rPr>
          <w:rFonts w:ascii="Times New Roman" w:eastAsia="標楷體" w:hAnsi="Times New Roman" w:cs="Times New Roman"/>
          <w:sz w:val="25"/>
          <w:szCs w:val="25"/>
        </w:rPr>
        <w:t>31,541</w:t>
      </w:r>
      <w:r w:rsidR="00BC0B25" w:rsidRPr="002C28A4">
        <w:rPr>
          <w:rFonts w:ascii="Times New Roman" w:eastAsia="標楷體" w:hAnsi="Times New Roman" w:cs="Times New Roman"/>
          <w:sz w:val="25"/>
          <w:szCs w:val="25"/>
        </w:rPr>
        <w:t>人</w:t>
      </w:r>
      <w:r w:rsidRPr="002C28A4">
        <w:rPr>
          <w:rFonts w:ascii="Times New Roman" w:eastAsia="標楷體" w:hAnsi="Times New Roman" w:cs="Times New Roman"/>
          <w:sz w:val="25"/>
          <w:szCs w:val="25"/>
        </w:rPr>
        <w:t>（還未計及</w:t>
      </w:r>
      <w:r w:rsidRPr="002C28A4">
        <w:rPr>
          <w:rFonts w:ascii="Times New Roman" w:eastAsia="標楷體" w:hAnsi="Times New Roman" w:cs="Times New Roman"/>
          <w:sz w:val="25"/>
          <w:szCs w:val="25"/>
        </w:rPr>
        <w:t>6,800</w:t>
      </w:r>
      <w:r w:rsidR="00A35AE4" w:rsidRPr="002C28A4">
        <w:rPr>
          <w:rFonts w:ascii="Times New Roman" w:eastAsia="標楷體" w:hAnsi="Times New Roman" w:cs="Times New Roman"/>
          <w:sz w:val="25"/>
          <w:szCs w:val="25"/>
        </w:rPr>
        <w:t>多</w:t>
      </w:r>
      <w:r w:rsidRPr="002C28A4">
        <w:rPr>
          <w:rFonts w:ascii="Times New Roman" w:eastAsia="標楷體" w:hAnsi="Times New Roman" w:cs="Times New Roman"/>
          <w:sz w:val="25"/>
          <w:szCs w:val="25"/>
        </w:rPr>
        <w:t>宗被評定為「非活躍」的長者）</w:t>
      </w:r>
      <w:r w:rsidR="00A35AE4" w:rsidRPr="002C28A4">
        <w:rPr>
          <w:rFonts w:ascii="Times New Roman" w:eastAsia="標楷體" w:hAnsi="Times New Roman" w:cs="Times New Roman"/>
          <w:sz w:val="25"/>
          <w:szCs w:val="25"/>
        </w:rPr>
        <w:t>，資</w:t>
      </w:r>
      <w:r w:rsidRPr="002C28A4">
        <w:rPr>
          <w:rFonts w:ascii="Times New Roman" w:eastAsia="標楷體" w:hAnsi="Times New Roman" w:cs="Times New Roman"/>
          <w:sz w:val="25"/>
          <w:szCs w:val="25"/>
        </w:rPr>
        <w:t>助護理安老院舍及護養院舍輪候時間分別長達</w:t>
      </w:r>
      <w:r w:rsidRPr="002C28A4">
        <w:rPr>
          <w:rFonts w:ascii="Times New Roman" w:eastAsia="標楷體" w:hAnsi="Times New Roman" w:cs="Times New Roman"/>
          <w:sz w:val="25"/>
          <w:szCs w:val="25"/>
        </w:rPr>
        <w:t>20</w:t>
      </w:r>
      <w:r w:rsidRPr="002C28A4">
        <w:rPr>
          <w:rFonts w:ascii="Times New Roman" w:eastAsia="標楷體" w:hAnsi="Times New Roman" w:cs="Times New Roman"/>
          <w:sz w:val="25"/>
          <w:szCs w:val="25"/>
        </w:rPr>
        <w:t>個月及</w:t>
      </w:r>
      <w:r w:rsidRPr="002C28A4">
        <w:rPr>
          <w:rFonts w:ascii="Times New Roman" w:eastAsia="標楷體" w:hAnsi="Times New Roman" w:cs="Times New Roman"/>
          <w:sz w:val="25"/>
          <w:szCs w:val="25"/>
        </w:rPr>
        <w:t>32</w:t>
      </w:r>
      <w:r w:rsidRPr="002C28A4">
        <w:rPr>
          <w:rFonts w:ascii="Times New Roman" w:eastAsia="標楷體" w:hAnsi="Times New Roman" w:cs="Times New Roman"/>
          <w:sz w:val="25"/>
          <w:szCs w:val="25"/>
        </w:rPr>
        <w:t>個月</w:t>
      </w:r>
      <w:r w:rsidRPr="002C28A4">
        <w:rPr>
          <w:rFonts w:ascii="Times New Roman" w:eastAsia="標楷體" w:hAnsi="Times New Roman" w:cs="Times New Roman"/>
          <w:sz w:val="25"/>
          <w:szCs w:val="25"/>
        </w:rPr>
        <w:t>(2014</w:t>
      </w:r>
      <w:r w:rsidRPr="002C28A4">
        <w:rPr>
          <w:rFonts w:ascii="Times New Roman" w:eastAsia="標楷體" w:hAnsi="Times New Roman" w:cs="Times New Roman"/>
          <w:sz w:val="25"/>
          <w:szCs w:val="25"/>
        </w:rPr>
        <w:t>年</w:t>
      </w:r>
      <w:r w:rsidR="00A35AE4" w:rsidRPr="002C28A4">
        <w:rPr>
          <w:rFonts w:ascii="Times New Roman" w:eastAsia="標楷體" w:hAnsi="Times New Roman" w:cs="Times New Roman"/>
          <w:sz w:val="25"/>
          <w:szCs w:val="25"/>
        </w:rPr>
        <w:t>11</w:t>
      </w:r>
      <w:r w:rsidRPr="002C28A4">
        <w:rPr>
          <w:rFonts w:ascii="Times New Roman" w:eastAsia="標楷體" w:hAnsi="Times New Roman" w:cs="Times New Roman"/>
          <w:sz w:val="25"/>
          <w:szCs w:val="25"/>
        </w:rPr>
        <w:t>月底</w:t>
      </w:r>
      <w:r w:rsidRPr="002C28A4">
        <w:rPr>
          <w:rFonts w:ascii="Times New Roman" w:eastAsia="標楷體" w:hAnsi="Times New Roman" w:cs="Times New Roman"/>
          <w:sz w:val="25"/>
          <w:szCs w:val="25"/>
        </w:rPr>
        <w:t>)</w:t>
      </w:r>
      <w:r w:rsidRPr="002C28A4">
        <w:rPr>
          <w:rFonts w:ascii="Times New Roman" w:eastAsia="標楷體" w:hAnsi="Times New Roman" w:cs="Times New Roman"/>
          <w:sz w:val="25"/>
          <w:szCs w:val="25"/>
        </w:rPr>
        <w:t>；新增供應仍屬杯水車薪，當局應增加其他方法，儘快短期內增加更多資助安老宿位。更不幸的是，中央輪候冊上在輪候宿位期間離世的長者人數，由</w:t>
      </w:r>
      <w:r w:rsidRPr="002C28A4">
        <w:rPr>
          <w:rFonts w:ascii="Times New Roman" w:eastAsia="標楷體" w:hAnsi="Times New Roman" w:cs="Times New Roman"/>
          <w:sz w:val="25"/>
          <w:szCs w:val="25"/>
        </w:rPr>
        <w:t>2010</w:t>
      </w:r>
      <w:r w:rsidRPr="002C28A4">
        <w:rPr>
          <w:rFonts w:ascii="Times New Roman" w:eastAsia="標楷體" w:hAnsi="Times New Roman" w:cs="Times New Roman"/>
          <w:sz w:val="25"/>
          <w:szCs w:val="25"/>
        </w:rPr>
        <w:t>年之前的每年「</w:t>
      </w:r>
      <w:r w:rsidRPr="002C28A4">
        <w:rPr>
          <w:rFonts w:ascii="Times New Roman" w:eastAsia="標楷體" w:hAnsi="Times New Roman" w:cs="Times New Roman"/>
          <w:sz w:val="25"/>
          <w:szCs w:val="25"/>
        </w:rPr>
        <w:t>4,000</w:t>
      </w:r>
      <w:r w:rsidRPr="002C28A4">
        <w:rPr>
          <w:rFonts w:ascii="Times New Roman" w:eastAsia="標楷體" w:hAnsi="Times New Roman" w:cs="Times New Roman"/>
          <w:sz w:val="25"/>
          <w:szCs w:val="25"/>
        </w:rPr>
        <w:t>至</w:t>
      </w:r>
      <w:r w:rsidRPr="002C28A4">
        <w:rPr>
          <w:rFonts w:ascii="Times New Roman" w:eastAsia="標楷體" w:hAnsi="Times New Roman" w:cs="Times New Roman"/>
          <w:sz w:val="25"/>
          <w:szCs w:val="25"/>
        </w:rPr>
        <w:t>4,500</w:t>
      </w:r>
      <w:r w:rsidRPr="002C28A4">
        <w:rPr>
          <w:rFonts w:ascii="Times New Roman" w:eastAsia="標楷體" w:hAnsi="Times New Roman" w:cs="Times New Roman"/>
          <w:sz w:val="25"/>
          <w:szCs w:val="25"/>
        </w:rPr>
        <w:t>名」增至</w:t>
      </w:r>
      <w:r w:rsidRPr="002C28A4">
        <w:rPr>
          <w:rFonts w:ascii="Times New Roman" w:eastAsia="標楷體" w:hAnsi="Times New Roman" w:cs="Times New Roman"/>
          <w:sz w:val="25"/>
          <w:szCs w:val="25"/>
        </w:rPr>
        <w:t>2013-14</w:t>
      </w:r>
      <w:r w:rsidRPr="002C28A4">
        <w:rPr>
          <w:rFonts w:ascii="Times New Roman" w:eastAsia="標楷體" w:hAnsi="Times New Roman" w:cs="Times New Roman"/>
          <w:sz w:val="25"/>
          <w:szCs w:val="25"/>
        </w:rPr>
        <w:t>年度的</w:t>
      </w:r>
      <w:r w:rsidRPr="002C28A4">
        <w:rPr>
          <w:rFonts w:ascii="Times New Roman" w:eastAsia="標楷體" w:hAnsi="Times New Roman" w:cs="Times New Roman"/>
          <w:sz w:val="25"/>
          <w:szCs w:val="25"/>
        </w:rPr>
        <w:t>5,700</w:t>
      </w:r>
      <w:r w:rsidRPr="002C28A4">
        <w:rPr>
          <w:rFonts w:ascii="Times New Roman" w:eastAsia="標楷體" w:hAnsi="Times New Roman" w:cs="Times New Roman"/>
          <w:sz w:val="25"/>
          <w:szCs w:val="25"/>
        </w:rPr>
        <w:t>名（其中</w:t>
      </w:r>
      <w:r w:rsidRPr="002C28A4">
        <w:rPr>
          <w:rFonts w:ascii="Times New Roman" w:eastAsia="標楷體" w:hAnsi="Times New Roman" w:cs="Times New Roman"/>
          <w:sz w:val="25"/>
          <w:szCs w:val="25"/>
        </w:rPr>
        <w:t>1,800</w:t>
      </w:r>
      <w:r w:rsidRPr="002C28A4">
        <w:rPr>
          <w:rFonts w:ascii="Times New Roman" w:eastAsia="標楷體" w:hAnsi="Times New Roman" w:cs="Times New Roman"/>
          <w:sz w:val="25"/>
          <w:szCs w:val="25"/>
        </w:rPr>
        <w:t>名在輪候護養院宿位期間離世，</w:t>
      </w:r>
      <w:r w:rsidRPr="002C28A4">
        <w:rPr>
          <w:rFonts w:ascii="Times New Roman" w:eastAsia="標楷體" w:hAnsi="Times New Roman" w:cs="Times New Roman"/>
          <w:sz w:val="25"/>
          <w:szCs w:val="25"/>
        </w:rPr>
        <w:t>3,900</w:t>
      </w:r>
      <w:r w:rsidRPr="002C28A4">
        <w:rPr>
          <w:rFonts w:ascii="Times New Roman" w:eastAsia="標楷體" w:hAnsi="Times New Roman" w:cs="Times New Roman"/>
          <w:sz w:val="25"/>
          <w:szCs w:val="25"/>
        </w:rPr>
        <w:t>名則在輪候護理安老院宿位期間離世）。</w:t>
      </w:r>
      <w:r w:rsidRPr="002C28A4">
        <w:rPr>
          <w:rFonts w:ascii="Times New Roman" w:eastAsia="標楷體" w:hAnsi="Times New Roman" w:cs="Times New Roman"/>
          <w:color w:val="333333"/>
          <w:sz w:val="25"/>
          <w:szCs w:val="25"/>
          <w:lang w:eastAsia="zh-Hans"/>
        </w:rPr>
        <w:t>可見政府支援與社會需要相對而言，實為杯水車薪。</w:t>
      </w:r>
    </w:p>
    <w:p w:rsidR="00577751" w:rsidRPr="002C28A4" w:rsidRDefault="00577751" w:rsidP="002C28A4">
      <w:pPr>
        <w:pStyle w:val="a3"/>
        <w:spacing w:line="300" w:lineRule="exact"/>
        <w:ind w:leftChars="0" w:left="360"/>
        <w:jc w:val="both"/>
        <w:rPr>
          <w:rFonts w:ascii="Times New Roman" w:eastAsia="標楷體" w:hAnsi="Times New Roman" w:cs="Times New Roman"/>
          <w:sz w:val="25"/>
          <w:szCs w:val="25"/>
        </w:rPr>
      </w:pPr>
    </w:p>
    <w:p w:rsidR="009D7BFC" w:rsidRPr="002C28A4" w:rsidRDefault="001142B7" w:rsidP="002C28A4">
      <w:pPr>
        <w:pStyle w:val="a3"/>
        <w:numPr>
          <w:ilvl w:val="0"/>
          <w:numId w:val="3"/>
        </w:numPr>
        <w:spacing w:line="300" w:lineRule="exact"/>
        <w:ind w:leftChars="0"/>
        <w:jc w:val="both"/>
        <w:rPr>
          <w:rFonts w:ascii="Times New Roman" w:eastAsia="標楷體" w:hAnsi="Times New Roman" w:cs="Times New Roman"/>
          <w:b/>
          <w:sz w:val="25"/>
          <w:szCs w:val="25"/>
        </w:rPr>
      </w:pPr>
      <w:r w:rsidRPr="002C28A4">
        <w:rPr>
          <w:rFonts w:ascii="Times New Roman" w:eastAsia="標楷體" w:hAnsi="Times New Roman" w:cs="Times New Roman"/>
          <w:b/>
          <w:sz w:val="25"/>
          <w:szCs w:val="25"/>
        </w:rPr>
        <w:t>社會福利欠長遠規劃</w:t>
      </w:r>
      <w:r w:rsidRPr="002C28A4">
        <w:rPr>
          <w:rFonts w:ascii="Times New Roman" w:eastAsia="標楷體" w:hAnsi="Times New Roman" w:cs="Times New Roman"/>
          <w:b/>
          <w:sz w:val="25"/>
          <w:szCs w:val="25"/>
        </w:rPr>
        <w:t xml:space="preserve">  </w:t>
      </w:r>
      <w:r w:rsidRPr="002C28A4">
        <w:rPr>
          <w:rFonts w:ascii="Times New Roman" w:eastAsia="標楷體" w:hAnsi="Times New Roman" w:cs="Times New Roman"/>
          <w:b/>
          <w:sz w:val="25"/>
          <w:szCs w:val="25"/>
        </w:rPr>
        <w:t>人手資源配</w:t>
      </w:r>
      <w:r w:rsidR="0070007F" w:rsidRPr="002C28A4">
        <w:rPr>
          <w:rFonts w:ascii="Times New Roman" w:eastAsia="標楷體" w:hAnsi="Times New Roman" w:cs="Times New Roman"/>
          <w:b/>
          <w:sz w:val="25"/>
          <w:szCs w:val="25"/>
        </w:rPr>
        <w:t>套</w:t>
      </w:r>
      <w:r w:rsidRPr="002C28A4">
        <w:rPr>
          <w:rFonts w:ascii="Times New Roman" w:eastAsia="標楷體" w:hAnsi="Times New Roman" w:cs="Times New Roman"/>
          <w:b/>
          <w:sz w:val="25"/>
          <w:szCs w:val="25"/>
        </w:rPr>
        <w:t>成疑</w:t>
      </w:r>
    </w:p>
    <w:p w:rsidR="009D7BFC" w:rsidRPr="002C28A4" w:rsidRDefault="009D7BFC" w:rsidP="002C28A4">
      <w:pPr>
        <w:spacing w:line="300" w:lineRule="exact"/>
        <w:jc w:val="both"/>
        <w:rPr>
          <w:rFonts w:ascii="Times New Roman" w:eastAsia="標楷體" w:hAnsi="Times New Roman" w:cs="Times New Roman"/>
          <w:sz w:val="25"/>
          <w:szCs w:val="25"/>
        </w:rPr>
      </w:pPr>
    </w:p>
    <w:p w:rsidR="001142B7" w:rsidRPr="002C28A4" w:rsidRDefault="001142B7" w:rsidP="002C28A4">
      <w:pPr>
        <w:spacing w:line="300" w:lineRule="exact"/>
        <w:ind w:firstLine="360"/>
        <w:jc w:val="both"/>
        <w:rPr>
          <w:rFonts w:ascii="Times New Roman" w:eastAsia="標楷體" w:hAnsi="Times New Roman" w:cs="Times New Roman"/>
          <w:b/>
          <w:sz w:val="25"/>
          <w:szCs w:val="25"/>
        </w:rPr>
      </w:pPr>
      <w:r w:rsidRPr="002C28A4">
        <w:rPr>
          <w:rFonts w:ascii="Times New Roman" w:eastAsia="標楷體" w:hAnsi="Times New Roman" w:cs="Times New Roman"/>
          <w:sz w:val="25"/>
          <w:szCs w:val="25"/>
        </w:rPr>
        <w:t>本會歡迎行政長官宣佈加強對精神病康復者及有特殊學習需要學童的支援服務，然而，當中涉及新增的社會福利人力資源。由於當局早前已擱置進行長遠社會福利規劃</w:t>
      </w:r>
      <w:r w:rsidRPr="002C28A4">
        <w:rPr>
          <w:rFonts w:ascii="Times New Roman" w:eastAsia="標楷體" w:hAnsi="Times New Roman" w:cs="Times New Roman"/>
          <w:sz w:val="25"/>
          <w:szCs w:val="25"/>
        </w:rPr>
        <w:t>(</w:t>
      </w:r>
      <w:r w:rsidRPr="002C28A4">
        <w:rPr>
          <w:rFonts w:ascii="Times New Roman" w:eastAsia="標楷體" w:hAnsi="Times New Roman" w:cs="Times New Roman"/>
          <w:sz w:val="25"/>
          <w:szCs w:val="25"/>
        </w:rPr>
        <w:t>包括</w:t>
      </w:r>
      <w:r w:rsidRPr="002C28A4">
        <w:rPr>
          <w:rFonts w:ascii="Times New Roman" w:eastAsia="標楷體" w:hAnsi="Times New Roman" w:cs="Times New Roman"/>
          <w:sz w:val="25"/>
          <w:szCs w:val="25"/>
        </w:rPr>
        <w:t>:</w:t>
      </w:r>
      <w:r w:rsidRPr="002C28A4">
        <w:rPr>
          <w:rFonts w:ascii="Times New Roman" w:eastAsia="標楷體" w:hAnsi="Times New Roman" w:cs="Times New Roman"/>
          <w:sz w:val="25"/>
          <w:szCs w:val="25"/>
        </w:rPr>
        <w:t>推出社會福利白皮書、進行每五年一次的社會福利規劃</w:t>
      </w:r>
      <w:r w:rsidRPr="002C28A4">
        <w:rPr>
          <w:rFonts w:ascii="Times New Roman" w:eastAsia="標楷體" w:hAnsi="Times New Roman" w:cs="Times New Roman"/>
          <w:sz w:val="25"/>
          <w:szCs w:val="25"/>
        </w:rPr>
        <w:t>)</w:t>
      </w:r>
      <w:r w:rsidRPr="002C28A4">
        <w:rPr>
          <w:rFonts w:ascii="Times New Roman" w:eastAsia="標楷體" w:hAnsi="Times New Roman" w:cs="Times New Roman"/>
          <w:sz w:val="25"/>
          <w:szCs w:val="25"/>
        </w:rPr>
        <w:t>，本會擔心現建議推出個別的先導計劃，日後若成為長遠福利服務時，將</w:t>
      </w:r>
      <w:r w:rsidR="0070007F" w:rsidRPr="002C28A4">
        <w:rPr>
          <w:rFonts w:ascii="Times New Roman" w:eastAsia="標楷體" w:hAnsi="Times New Roman" w:cs="Times New Roman"/>
          <w:sz w:val="25"/>
          <w:szCs w:val="25"/>
        </w:rPr>
        <w:t>缺乏充足的人力資源配合，令服務無以為繼。</w:t>
      </w:r>
    </w:p>
    <w:p w:rsidR="0070007F" w:rsidRPr="002C28A4" w:rsidRDefault="0070007F" w:rsidP="002C28A4">
      <w:pPr>
        <w:spacing w:line="300" w:lineRule="exact"/>
        <w:jc w:val="both"/>
        <w:rPr>
          <w:rFonts w:ascii="Times New Roman" w:eastAsia="標楷體" w:hAnsi="Times New Roman" w:cs="Times New Roman"/>
          <w:sz w:val="25"/>
          <w:szCs w:val="25"/>
        </w:rPr>
      </w:pPr>
    </w:p>
    <w:p w:rsidR="007E0951" w:rsidRPr="002C28A4" w:rsidRDefault="002370F6" w:rsidP="002C28A4">
      <w:pPr>
        <w:pStyle w:val="a3"/>
        <w:numPr>
          <w:ilvl w:val="0"/>
          <w:numId w:val="3"/>
        </w:numPr>
        <w:spacing w:line="300" w:lineRule="exact"/>
        <w:ind w:leftChars="0"/>
        <w:jc w:val="both"/>
        <w:rPr>
          <w:rFonts w:ascii="Times New Roman" w:eastAsia="標楷體" w:hAnsi="Times New Roman" w:cs="Times New Roman"/>
          <w:b/>
          <w:sz w:val="25"/>
          <w:szCs w:val="25"/>
        </w:rPr>
      </w:pPr>
      <w:r w:rsidRPr="002C28A4">
        <w:rPr>
          <w:rFonts w:ascii="Times New Roman" w:eastAsia="標楷體" w:hAnsi="Times New Roman" w:cs="Times New Roman"/>
          <w:b/>
          <w:sz w:val="25"/>
          <w:szCs w:val="25"/>
        </w:rPr>
        <w:t>500</w:t>
      </w:r>
      <w:r w:rsidRPr="002C28A4">
        <w:rPr>
          <w:rFonts w:ascii="Times New Roman" w:eastAsia="標楷體" w:hAnsi="Times New Roman" w:cs="Times New Roman"/>
          <w:b/>
          <w:sz w:val="25"/>
          <w:szCs w:val="25"/>
        </w:rPr>
        <w:t>億醫療服務撥備欠進展</w:t>
      </w:r>
      <w:r w:rsidRPr="002C28A4">
        <w:rPr>
          <w:rFonts w:ascii="Times New Roman" w:eastAsia="標楷體" w:hAnsi="Times New Roman" w:cs="Times New Roman"/>
          <w:b/>
          <w:sz w:val="25"/>
          <w:szCs w:val="25"/>
        </w:rPr>
        <w:t xml:space="preserve">  </w:t>
      </w:r>
      <w:r w:rsidRPr="002C28A4">
        <w:rPr>
          <w:rFonts w:ascii="Times New Roman" w:eastAsia="標楷體" w:hAnsi="Times New Roman" w:cs="Times New Roman"/>
          <w:b/>
          <w:sz w:val="25"/>
          <w:szCs w:val="25"/>
        </w:rPr>
        <w:t>醫療服務亟待改善</w:t>
      </w:r>
    </w:p>
    <w:p w:rsidR="007E0951" w:rsidRPr="002C28A4" w:rsidRDefault="007E0951" w:rsidP="002C28A4">
      <w:pPr>
        <w:spacing w:line="300" w:lineRule="exact"/>
        <w:jc w:val="both"/>
        <w:rPr>
          <w:rFonts w:ascii="Times New Roman" w:eastAsia="標楷體" w:hAnsi="Times New Roman" w:cs="Times New Roman"/>
          <w:sz w:val="25"/>
          <w:szCs w:val="25"/>
        </w:rPr>
      </w:pPr>
    </w:p>
    <w:p w:rsidR="00C16010" w:rsidRPr="002C28A4" w:rsidRDefault="00C16010" w:rsidP="002C28A4">
      <w:pPr>
        <w:spacing w:line="300" w:lineRule="exact"/>
        <w:ind w:firstLine="360"/>
        <w:jc w:val="both"/>
        <w:rPr>
          <w:rFonts w:ascii="Times New Roman" w:eastAsia="標楷體" w:hAnsi="Times New Roman" w:cs="Times New Roman"/>
          <w:sz w:val="25"/>
          <w:szCs w:val="25"/>
        </w:rPr>
      </w:pPr>
      <w:r w:rsidRPr="002C28A4">
        <w:rPr>
          <w:rFonts w:ascii="Times New Roman" w:eastAsia="標楷體" w:hAnsi="Times New Roman" w:cs="Times New Roman"/>
          <w:sz w:val="25"/>
          <w:szCs w:val="25"/>
        </w:rPr>
        <w:t>醫療服務</w:t>
      </w:r>
      <w:r w:rsidR="007E0951" w:rsidRPr="002C28A4">
        <w:rPr>
          <w:rFonts w:ascii="Times New Roman" w:eastAsia="標楷體" w:hAnsi="Times New Roman" w:cs="Times New Roman"/>
          <w:sz w:val="25"/>
          <w:szCs w:val="25"/>
        </w:rPr>
        <w:t>方面，</w:t>
      </w:r>
      <w:r w:rsidR="002370F6" w:rsidRPr="002C28A4">
        <w:rPr>
          <w:rFonts w:ascii="Times New Roman" w:eastAsia="標楷體" w:hAnsi="Times New Roman" w:cs="Times New Roman"/>
          <w:sz w:val="25"/>
          <w:szCs w:val="25"/>
        </w:rPr>
        <w:t>面對人口老化及醫療服務需求不斷增加的挑戰，公營醫療服務的壓力，</w:t>
      </w:r>
      <w:r w:rsidR="00EB3353" w:rsidRPr="002C28A4">
        <w:rPr>
          <w:rFonts w:ascii="Times New Roman" w:eastAsia="標楷體" w:hAnsi="Times New Roman" w:cs="Times New Roman"/>
          <w:sz w:val="25"/>
          <w:szCs w:val="25"/>
        </w:rPr>
        <w:t>施政報告</w:t>
      </w:r>
      <w:r w:rsidR="002370F6" w:rsidRPr="002C28A4">
        <w:rPr>
          <w:rFonts w:ascii="Times New Roman" w:eastAsia="標楷體" w:hAnsi="Times New Roman" w:cs="Times New Roman"/>
          <w:sz w:val="25"/>
          <w:szCs w:val="25"/>
        </w:rPr>
        <w:t>仍未</w:t>
      </w:r>
      <w:r w:rsidR="007E0951" w:rsidRPr="002C28A4">
        <w:rPr>
          <w:rFonts w:ascii="Times New Roman" w:eastAsia="標楷體" w:hAnsi="Times New Roman" w:cs="Times New Roman"/>
          <w:sz w:val="25"/>
          <w:szCs w:val="25"/>
        </w:rPr>
        <w:t>有</w:t>
      </w:r>
      <w:r w:rsidR="00EB3353" w:rsidRPr="002C28A4">
        <w:rPr>
          <w:rFonts w:ascii="Times New Roman" w:eastAsia="標楷體" w:hAnsi="Times New Roman" w:cs="Times New Roman"/>
          <w:sz w:val="25"/>
          <w:szCs w:val="25"/>
        </w:rPr>
        <w:t>提及</w:t>
      </w:r>
      <w:r w:rsidR="007E0951" w:rsidRPr="002C28A4">
        <w:rPr>
          <w:rFonts w:ascii="Times New Roman" w:eastAsia="標楷體" w:hAnsi="Times New Roman" w:cs="Times New Roman"/>
          <w:sz w:val="25"/>
          <w:szCs w:val="25"/>
        </w:rPr>
        <w:t>如何善用早年撥備</w:t>
      </w:r>
      <w:r w:rsidR="007E0951" w:rsidRPr="002C28A4">
        <w:rPr>
          <w:rFonts w:ascii="Times New Roman" w:eastAsia="標楷體" w:hAnsi="Times New Roman" w:cs="Times New Roman"/>
          <w:sz w:val="25"/>
          <w:szCs w:val="25"/>
        </w:rPr>
        <w:t>500</w:t>
      </w:r>
      <w:r w:rsidR="007E0951" w:rsidRPr="002C28A4">
        <w:rPr>
          <w:rFonts w:ascii="Times New Roman" w:eastAsia="標楷體" w:hAnsi="Times New Roman" w:cs="Times New Roman"/>
          <w:sz w:val="25"/>
          <w:szCs w:val="25"/>
        </w:rPr>
        <w:t>億元</w:t>
      </w:r>
      <w:r w:rsidR="0096350F" w:rsidRPr="002C28A4">
        <w:rPr>
          <w:rFonts w:ascii="Times New Roman" w:eastAsia="標楷體" w:hAnsi="Times New Roman" w:cs="Times New Roman"/>
          <w:sz w:val="25"/>
          <w:szCs w:val="25"/>
        </w:rPr>
        <w:t>，處理本港醫療融資及改善本港</w:t>
      </w:r>
      <w:r w:rsidR="007E0951" w:rsidRPr="002C28A4">
        <w:rPr>
          <w:rFonts w:ascii="Times New Roman" w:eastAsia="標楷體" w:hAnsi="Times New Roman" w:cs="Times New Roman"/>
          <w:sz w:val="25"/>
          <w:szCs w:val="25"/>
        </w:rPr>
        <w:t>醫療服務</w:t>
      </w:r>
      <w:r w:rsidR="002370F6" w:rsidRPr="002C28A4">
        <w:rPr>
          <w:rFonts w:ascii="Times New Roman" w:eastAsia="標楷體" w:hAnsi="Times New Roman" w:cs="Times New Roman"/>
          <w:sz w:val="25"/>
          <w:szCs w:val="25"/>
        </w:rPr>
        <w:t>，令人失望。</w:t>
      </w:r>
    </w:p>
    <w:p w:rsidR="00DE233A" w:rsidRPr="002C28A4" w:rsidRDefault="00DE233A" w:rsidP="002C28A4">
      <w:pPr>
        <w:spacing w:line="300" w:lineRule="exact"/>
        <w:ind w:firstLine="360"/>
        <w:jc w:val="both"/>
        <w:rPr>
          <w:rFonts w:ascii="Times New Roman" w:eastAsia="標楷體" w:hAnsi="Times New Roman" w:cs="Times New Roman"/>
          <w:sz w:val="25"/>
          <w:szCs w:val="25"/>
        </w:rPr>
      </w:pPr>
    </w:p>
    <w:p w:rsidR="00DB75C1" w:rsidRPr="002C28A4" w:rsidRDefault="00DE233A" w:rsidP="002C28A4">
      <w:pPr>
        <w:pStyle w:val="a3"/>
        <w:numPr>
          <w:ilvl w:val="0"/>
          <w:numId w:val="3"/>
        </w:numPr>
        <w:spacing w:line="300" w:lineRule="exact"/>
        <w:ind w:leftChars="0"/>
        <w:jc w:val="both"/>
        <w:rPr>
          <w:rFonts w:ascii="Times New Roman" w:eastAsia="標楷體" w:hAnsi="Times New Roman" w:cs="Times New Roman"/>
          <w:b/>
          <w:sz w:val="25"/>
          <w:szCs w:val="25"/>
        </w:rPr>
      </w:pPr>
      <w:r w:rsidRPr="002C28A4">
        <w:rPr>
          <w:rFonts w:ascii="Times New Roman" w:eastAsia="標楷體" w:hAnsi="Times New Roman" w:cs="Times New Roman"/>
          <w:b/>
          <w:sz w:val="25"/>
          <w:szCs w:val="25"/>
        </w:rPr>
        <w:t>增加託兒名額可取</w:t>
      </w:r>
      <w:r w:rsidRPr="002C28A4">
        <w:rPr>
          <w:rFonts w:ascii="Times New Roman" w:eastAsia="標楷體" w:hAnsi="Times New Roman" w:cs="Times New Roman"/>
          <w:b/>
          <w:sz w:val="25"/>
          <w:szCs w:val="25"/>
        </w:rPr>
        <w:t xml:space="preserve"> </w:t>
      </w:r>
      <w:r w:rsidRPr="002C28A4">
        <w:rPr>
          <w:rFonts w:ascii="Times New Roman" w:eastAsia="標楷體" w:hAnsi="Times New Roman" w:cs="Times New Roman"/>
          <w:b/>
          <w:sz w:val="25"/>
          <w:szCs w:val="25"/>
        </w:rPr>
        <w:t>惟遠低於實際需求</w:t>
      </w:r>
    </w:p>
    <w:p w:rsidR="00DE233A" w:rsidRPr="002C28A4" w:rsidRDefault="00DE233A" w:rsidP="002C28A4">
      <w:pPr>
        <w:spacing w:line="300" w:lineRule="exact"/>
        <w:jc w:val="both"/>
        <w:rPr>
          <w:rFonts w:ascii="Times New Roman" w:eastAsia="標楷體" w:hAnsi="Times New Roman" w:cs="Times New Roman"/>
          <w:b/>
          <w:sz w:val="25"/>
          <w:szCs w:val="25"/>
        </w:rPr>
      </w:pPr>
    </w:p>
    <w:p w:rsidR="00DB75C1" w:rsidRDefault="00DB75C1" w:rsidP="002C28A4">
      <w:pPr>
        <w:spacing w:line="300" w:lineRule="exact"/>
        <w:ind w:firstLine="360"/>
        <w:jc w:val="both"/>
        <w:rPr>
          <w:rFonts w:ascii="Times New Roman" w:eastAsia="標楷體" w:hAnsi="Times New Roman" w:cs="Times New Roman"/>
          <w:sz w:val="25"/>
          <w:szCs w:val="25"/>
        </w:rPr>
      </w:pPr>
      <w:r w:rsidRPr="002C28A4">
        <w:rPr>
          <w:rFonts w:ascii="Times New Roman" w:eastAsia="標楷體" w:hAnsi="Times New Roman" w:cs="Times New Roman"/>
          <w:sz w:val="25"/>
          <w:szCs w:val="25"/>
        </w:rPr>
        <w:t>本會歡迎當局宣佈為釋放勞動潛力，當局會</w:t>
      </w:r>
      <w:r w:rsidRPr="002C28A4">
        <w:rPr>
          <w:rFonts w:ascii="Times New Roman" w:eastAsia="標楷體" w:hAnsi="Times New Roman" w:cs="Times New Roman"/>
          <w:kern w:val="0"/>
          <w:sz w:val="25"/>
          <w:szCs w:val="25"/>
        </w:rPr>
        <w:t>加強託兒服務，除增加</w:t>
      </w:r>
      <w:r w:rsidRPr="002C28A4">
        <w:rPr>
          <w:rFonts w:ascii="Times New Roman" w:eastAsia="標楷體" w:hAnsi="Times New Roman" w:cs="Times New Roman"/>
          <w:kern w:val="0"/>
          <w:sz w:val="25"/>
          <w:szCs w:val="25"/>
        </w:rPr>
        <w:t>3</w:t>
      </w:r>
      <w:r w:rsidRPr="002C28A4">
        <w:rPr>
          <w:rFonts w:ascii="Times New Roman" w:eastAsia="標楷體" w:hAnsi="Times New Roman" w:cs="Times New Roman"/>
          <w:kern w:val="0"/>
          <w:sz w:val="25"/>
          <w:szCs w:val="25"/>
        </w:rPr>
        <w:t>歲以下幼童的全日制託兒服務名額外，政府於</w:t>
      </w:r>
      <w:r w:rsidRPr="002C28A4">
        <w:rPr>
          <w:rFonts w:ascii="Times New Roman" w:eastAsia="標楷體" w:hAnsi="Times New Roman" w:cs="Times New Roman"/>
          <w:kern w:val="0"/>
          <w:sz w:val="25"/>
          <w:szCs w:val="25"/>
        </w:rPr>
        <w:t xml:space="preserve">2015-16 </w:t>
      </w:r>
      <w:r w:rsidRPr="002C28A4">
        <w:rPr>
          <w:rFonts w:ascii="Times New Roman" w:eastAsia="標楷體" w:hAnsi="Times New Roman" w:cs="Times New Roman"/>
          <w:kern w:val="0"/>
          <w:sz w:val="25"/>
          <w:szCs w:val="25"/>
        </w:rPr>
        <w:t>年度起逐步增加幼兒中心及幼稚園暨幼兒中心的延長時間服務資助名額至</w:t>
      </w:r>
      <w:r w:rsidRPr="002C28A4">
        <w:rPr>
          <w:rFonts w:ascii="Times New Roman" w:eastAsia="標楷體" w:hAnsi="Times New Roman" w:cs="Times New Roman"/>
          <w:kern w:val="0"/>
          <w:sz w:val="25"/>
          <w:szCs w:val="25"/>
        </w:rPr>
        <w:t xml:space="preserve">6 200 </w:t>
      </w:r>
      <w:r w:rsidRPr="002C28A4">
        <w:rPr>
          <w:rFonts w:ascii="Times New Roman" w:eastAsia="標楷體" w:hAnsi="Times New Roman" w:cs="Times New Roman"/>
          <w:kern w:val="0"/>
          <w:sz w:val="25"/>
          <w:szCs w:val="25"/>
        </w:rPr>
        <w:t>多個。</w:t>
      </w:r>
      <w:r w:rsidR="00431D0A" w:rsidRPr="002C28A4">
        <w:rPr>
          <w:rFonts w:ascii="Times New Roman" w:eastAsia="標楷體" w:hAnsi="Times New Roman" w:cs="Times New Roman"/>
          <w:kern w:val="0"/>
          <w:sz w:val="25"/>
          <w:szCs w:val="25"/>
        </w:rPr>
        <w:t>以現時</w:t>
      </w:r>
      <w:r w:rsidR="00431D0A" w:rsidRPr="002C28A4">
        <w:rPr>
          <w:rFonts w:ascii="Times New Roman" w:eastAsia="標楷體" w:hAnsi="Times New Roman" w:cs="Times New Roman"/>
          <w:kern w:val="0"/>
          <w:sz w:val="25"/>
          <w:szCs w:val="25"/>
        </w:rPr>
        <w:t>2013</w:t>
      </w:r>
      <w:r w:rsidR="00431D0A" w:rsidRPr="002C28A4">
        <w:rPr>
          <w:rFonts w:ascii="Times New Roman" w:eastAsia="標楷體" w:hAnsi="Times New Roman" w:cs="Times New Roman"/>
          <w:kern w:val="0"/>
          <w:sz w:val="25"/>
          <w:szCs w:val="25"/>
        </w:rPr>
        <w:t>年為例，</w:t>
      </w:r>
      <w:r w:rsidR="00DE233A" w:rsidRPr="002C28A4">
        <w:rPr>
          <w:rFonts w:ascii="Times New Roman" w:eastAsia="標楷體" w:hAnsi="Times New Roman" w:cs="Times New Roman"/>
          <w:kern w:val="0"/>
          <w:sz w:val="25"/>
          <w:szCs w:val="25"/>
        </w:rPr>
        <w:t>單單</w:t>
      </w:r>
      <w:r w:rsidR="00431D0A" w:rsidRPr="002C28A4">
        <w:rPr>
          <w:rFonts w:ascii="Times New Roman" w:eastAsia="標楷體" w:hAnsi="Times New Roman" w:cs="Times New Roman"/>
          <w:kern w:val="0"/>
          <w:sz w:val="25"/>
          <w:szCs w:val="25"/>
        </w:rPr>
        <w:t>生活在貧窮線下的</w:t>
      </w:r>
      <w:r w:rsidR="00431D0A" w:rsidRPr="002C28A4">
        <w:rPr>
          <w:rFonts w:ascii="Times New Roman" w:eastAsia="標楷體" w:hAnsi="Times New Roman" w:cs="Times New Roman"/>
          <w:kern w:val="0"/>
          <w:sz w:val="25"/>
          <w:szCs w:val="25"/>
        </w:rPr>
        <w:t>3</w:t>
      </w:r>
      <w:r w:rsidR="00431D0A" w:rsidRPr="002C28A4">
        <w:rPr>
          <w:rFonts w:ascii="Times New Roman" w:eastAsia="標楷體" w:hAnsi="Times New Roman" w:cs="Times New Roman"/>
          <w:kern w:val="0"/>
          <w:sz w:val="25"/>
          <w:szCs w:val="25"/>
        </w:rPr>
        <w:t>至</w:t>
      </w:r>
      <w:r w:rsidR="00431D0A" w:rsidRPr="002C28A4">
        <w:rPr>
          <w:rFonts w:ascii="Times New Roman" w:eastAsia="標楷體" w:hAnsi="Times New Roman" w:cs="Times New Roman"/>
          <w:kern w:val="0"/>
          <w:sz w:val="25"/>
          <w:szCs w:val="25"/>
        </w:rPr>
        <w:t>6</w:t>
      </w:r>
      <w:r w:rsidR="00431D0A" w:rsidRPr="002C28A4">
        <w:rPr>
          <w:rFonts w:ascii="Times New Roman" w:eastAsia="標楷體" w:hAnsi="Times New Roman" w:cs="Times New Roman"/>
          <w:kern w:val="0"/>
          <w:sz w:val="25"/>
          <w:szCs w:val="25"/>
        </w:rPr>
        <w:t>歲兒童為</w:t>
      </w:r>
      <w:r w:rsidR="00431D0A" w:rsidRPr="002C28A4">
        <w:rPr>
          <w:rFonts w:ascii="Times New Roman" w:eastAsia="標楷體" w:hAnsi="Times New Roman" w:cs="Times New Roman"/>
          <w:kern w:val="0"/>
          <w:sz w:val="25"/>
          <w:szCs w:val="25"/>
        </w:rPr>
        <w:t>47,500</w:t>
      </w:r>
      <w:r w:rsidR="00431D0A" w:rsidRPr="002C28A4">
        <w:rPr>
          <w:rFonts w:ascii="Times New Roman" w:eastAsia="標楷體" w:hAnsi="Times New Roman" w:cs="Times New Roman"/>
          <w:kern w:val="0"/>
          <w:sz w:val="25"/>
          <w:szCs w:val="25"/>
        </w:rPr>
        <w:t>人，若要照顧其家長就業，</w:t>
      </w:r>
      <w:r w:rsidR="00DE233A" w:rsidRPr="002C28A4">
        <w:rPr>
          <w:rFonts w:ascii="Times New Roman" w:eastAsia="標楷體" w:hAnsi="Times New Roman" w:cs="Times New Roman"/>
          <w:kern w:val="0"/>
          <w:sz w:val="25"/>
          <w:szCs w:val="25"/>
        </w:rPr>
        <w:t>若以全港</w:t>
      </w:r>
      <w:r w:rsidR="00DE233A" w:rsidRPr="002C28A4">
        <w:rPr>
          <w:rFonts w:ascii="Times New Roman" w:eastAsia="標楷體" w:hAnsi="Times New Roman" w:cs="Times New Roman"/>
          <w:kern w:val="0"/>
          <w:sz w:val="25"/>
          <w:szCs w:val="25"/>
        </w:rPr>
        <w:t>3</w:t>
      </w:r>
      <w:r w:rsidR="00DE233A" w:rsidRPr="002C28A4">
        <w:rPr>
          <w:rFonts w:ascii="Times New Roman" w:eastAsia="標楷體" w:hAnsi="Times New Roman" w:cs="Times New Roman"/>
          <w:kern w:val="0"/>
          <w:sz w:val="25"/>
          <w:szCs w:val="25"/>
        </w:rPr>
        <w:t>至</w:t>
      </w:r>
      <w:r w:rsidR="00DE233A" w:rsidRPr="002C28A4">
        <w:rPr>
          <w:rFonts w:ascii="Times New Roman" w:eastAsia="標楷體" w:hAnsi="Times New Roman" w:cs="Times New Roman"/>
          <w:kern w:val="0"/>
          <w:sz w:val="25"/>
          <w:szCs w:val="25"/>
        </w:rPr>
        <w:t>6</w:t>
      </w:r>
      <w:r w:rsidR="00DE233A" w:rsidRPr="002C28A4">
        <w:rPr>
          <w:rFonts w:ascii="Times New Roman" w:eastAsia="標楷體" w:hAnsi="Times New Roman" w:cs="Times New Roman"/>
          <w:kern w:val="0"/>
          <w:sz w:val="25"/>
          <w:szCs w:val="25"/>
        </w:rPr>
        <w:t>歲兒童人數達</w:t>
      </w:r>
      <w:r w:rsidR="00DE233A" w:rsidRPr="002C28A4">
        <w:rPr>
          <w:rFonts w:ascii="Times New Roman" w:eastAsia="標楷體" w:hAnsi="Times New Roman" w:cs="Times New Roman"/>
          <w:kern w:val="0"/>
          <w:sz w:val="25"/>
          <w:szCs w:val="25"/>
        </w:rPr>
        <w:t>212,500</w:t>
      </w:r>
      <w:r w:rsidR="00DE233A" w:rsidRPr="002C28A4">
        <w:rPr>
          <w:rFonts w:ascii="Times New Roman" w:eastAsia="標楷體" w:hAnsi="Times New Roman" w:cs="Times New Roman"/>
          <w:kern w:val="0"/>
          <w:sz w:val="25"/>
          <w:szCs w:val="25"/>
        </w:rPr>
        <w:t>人計算，</w:t>
      </w:r>
      <w:r w:rsidR="00431D0A" w:rsidRPr="002C28A4">
        <w:rPr>
          <w:rFonts w:ascii="Times New Roman" w:eastAsia="標楷體" w:hAnsi="Times New Roman" w:cs="Times New Roman"/>
          <w:kern w:val="0"/>
          <w:sz w:val="25"/>
          <w:szCs w:val="25"/>
        </w:rPr>
        <w:t>可見提供名額遠低於實際所需</w:t>
      </w:r>
      <w:r w:rsidR="00DE233A" w:rsidRPr="002C28A4">
        <w:rPr>
          <w:rFonts w:ascii="Times New Roman" w:eastAsia="標楷體" w:hAnsi="Times New Roman" w:cs="Times New Roman"/>
          <w:kern w:val="0"/>
          <w:sz w:val="25"/>
          <w:szCs w:val="25"/>
        </w:rPr>
        <w:t>；</w:t>
      </w:r>
      <w:r w:rsidR="00AE7FB4" w:rsidRPr="002C28A4">
        <w:rPr>
          <w:rFonts w:ascii="Times New Roman" w:eastAsia="標楷體" w:hAnsi="Times New Roman" w:cs="Times New Roman"/>
          <w:kern w:val="0"/>
          <w:sz w:val="25"/>
          <w:szCs w:val="25"/>
        </w:rPr>
        <w:t>當局應考慮進一步增加託兒名額，</w:t>
      </w:r>
      <w:r w:rsidR="00DE233A" w:rsidRPr="002C28A4">
        <w:rPr>
          <w:rFonts w:ascii="Times New Roman" w:eastAsia="標楷體" w:hAnsi="Times New Roman" w:cs="Times New Roman"/>
          <w:kern w:val="0"/>
          <w:sz w:val="25"/>
          <w:szCs w:val="25"/>
        </w:rPr>
        <w:t>以全面</w:t>
      </w:r>
      <w:r w:rsidR="00DE233A" w:rsidRPr="002C28A4">
        <w:rPr>
          <w:rFonts w:ascii="Times New Roman" w:eastAsia="標楷體" w:hAnsi="Times New Roman" w:cs="Times New Roman"/>
          <w:sz w:val="25"/>
          <w:szCs w:val="25"/>
        </w:rPr>
        <w:t>釋放勞動力。</w:t>
      </w:r>
    </w:p>
    <w:p w:rsidR="002C28A4" w:rsidRPr="002C28A4" w:rsidRDefault="002C28A4" w:rsidP="002C28A4">
      <w:pPr>
        <w:spacing w:line="300" w:lineRule="exact"/>
        <w:ind w:firstLine="360"/>
        <w:jc w:val="both"/>
        <w:rPr>
          <w:rFonts w:ascii="Times New Roman" w:eastAsia="標楷體" w:hAnsi="Times New Roman" w:cs="Times New Roman"/>
          <w:sz w:val="25"/>
          <w:szCs w:val="25"/>
        </w:rPr>
      </w:pPr>
    </w:p>
    <w:p w:rsidR="00C16010" w:rsidRPr="002C28A4" w:rsidRDefault="00C16010" w:rsidP="002C28A4">
      <w:pPr>
        <w:spacing w:line="300" w:lineRule="exact"/>
        <w:jc w:val="right"/>
        <w:rPr>
          <w:rFonts w:ascii="Times New Roman" w:eastAsia="標楷體" w:hAnsi="Times New Roman" w:cs="Times New Roman"/>
          <w:b/>
          <w:sz w:val="25"/>
          <w:szCs w:val="25"/>
        </w:rPr>
      </w:pPr>
      <w:r w:rsidRPr="002C28A4">
        <w:rPr>
          <w:rFonts w:ascii="Times New Roman" w:eastAsia="標楷體" w:hAnsi="Times New Roman" w:cs="Times New Roman"/>
          <w:b/>
          <w:sz w:val="25"/>
          <w:szCs w:val="25"/>
        </w:rPr>
        <w:t>香港社區組織協會</w:t>
      </w:r>
      <w:r w:rsidRPr="002C28A4">
        <w:rPr>
          <w:rFonts w:ascii="Times New Roman" w:eastAsia="標楷體" w:hAnsi="Times New Roman" w:cs="Times New Roman"/>
          <w:b/>
          <w:sz w:val="25"/>
          <w:szCs w:val="25"/>
        </w:rPr>
        <w:t xml:space="preserve"> </w:t>
      </w:r>
    </w:p>
    <w:p w:rsidR="00C16010" w:rsidRPr="002C28A4" w:rsidRDefault="00C16010" w:rsidP="002C28A4">
      <w:pPr>
        <w:spacing w:line="300" w:lineRule="exact"/>
        <w:jc w:val="both"/>
        <w:rPr>
          <w:rFonts w:ascii="Times New Roman" w:eastAsia="標楷體" w:hAnsi="Times New Roman" w:cs="Times New Roman"/>
          <w:b/>
          <w:sz w:val="25"/>
          <w:szCs w:val="25"/>
        </w:rPr>
      </w:pPr>
      <w:r w:rsidRPr="002C28A4">
        <w:rPr>
          <w:rFonts w:ascii="Times New Roman" w:eastAsia="標楷體" w:hAnsi="Times New Roman" w:cs="Times New Roman"/>
          <w:b/>
          <w:sz w:val="25"/>
          <w:szCs w:val="25"/>
        </w:rPr>
        <w:t>二零一五年一月十四日</w:t>
      </w:r>
      <w:bookmarkStart w:id="0" w:name="_GoBack"/>
      <w:bookmarkEnd w:id="0"/>
    </w:p>
    <w:sectPr w:rsidR="00C16010" w:rsidRPr="002C28A4" w:rsidSect="00C16010">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7F" w:rsidRDefault="0094077F" w:rsidP="007D3ED3">
      <w:r>
        <w:separator/>
      </w:r>
    </w:p>
  </w:endnote>
  <w:endnote w:type="continuationSeparator" w:id="0">
    <w:p w:rsidR="0094077F" w:rsidRDefault="0094077F" w:rsidP="007D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B">
    <w:altName w:val="標楷體"/>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7F" w:rsidRDefault="0094077F" w:rsidP="007D3ED3">
      <w:r>
        <w:separator/>
      </w:r>
    </w:p>
  </w:footnote>
  <w:footnote w:type="continuationSeparator" w:id="0">
    <w:p w:rsidR="0094077F" w:rsidRDefault="0094077F" w:rsidP="007D3ED3">
      <w:r>
        <w:continuationSeparator/>
      </w:r>
    </w:p>
  </w:footnote>
  <w:footnote w:id="1">
    <w:p w:rsidR="007D3ED3" w:rsidRDefault="007D3ED3" w:rsidP="005E3C9D">
      <w:pPr>
        <w:pStyle w:val="a7"/>
        <w:spacing w:line="200" w:lineRule="exact"/>
        <w:jc w:val="both"/>
        <w:rPr>
          <w:rFonts w:ascii="Times New Roman" w:eastAsia="標楷體" w:hAnsi="Times New Roman"/>
        </w:rPr>
      </w:pPr>
      <w:r w:rsidRPr="009D3524">
        <w:rPr>
          <w:rStyle w:val="a9"/>
          <w:rFonts w:ascii="Times New Roman" w:hAnsi="Times New Roman"/>
        </w:rPr>
        <w:footnoteRef/>
      </w:r>
      <w:r w:rsidRPr="009D3524">
        <w:rPr>
          <w:rFonts w:ascii="Times New Roman" w:eastAsia="標楷體" w:hAnsi="Times New Roman"/>
        </w:rPr>
        <w:t xml:space="preserve"> </w:t>
      </w:r>
      <w:r w:rsidRPr="009D3524">
        <w:rPr>
          <w:rFonts w:ascii="Times New Roman" w:eastAsia="標楷體" w:hAnsi="Times New Roman"/>
        </w:rPr>
        <w:t>前行政長官曾蔭權在</w:t>
      </w:r>
      <w:r w:rsidRPr="009D3524">
        <w:rPr>
          <w:rFonts w:ascii="Times New Roman" w:eastAsia="標楷體" w:hAnsi="Times New Roman"/>
        </w:rPr>
        <w:t>2007</w:t>
      </w:r>
      <w:r>
        <w:rPr>
          <w:rFonts w:ascii="Times New Roman" w:eastAsia="標楷體" w:hAnsi="Times New Roman" w:hint="eastAsia"/>
        </w:rPr>
        <w:t>-</w:t>
      </w:r>
      <w:r w:rsidRPr="009D3524">
        <w:rPr>
          <w:rFonts w:ascii="Times New Roman" w:eastAsia="標楷體" w:hAnsi="Times New Roman"/>
        </w:rPr>
        <w:t>08</w:t>
      </w:r>
      <w:r>
        <w:rPr>
          <w:rFonts w:ascii="Times New Roman" w:eastAsia="標楷體" w:hAnsi="Times New Roman" w:hint="eastAsia"/>
        </w:rPr>
        <w:t>年度</w:t>
      </w:r>
      <w:r w:rsidRPr="009D3524">
        <w:rPr>
          <w:rFonts w:ascii="Times New Roman" w:eastAsia="標楷體" w:hAnsi="Times New Roman"/>
        </w:rPr>
        <w:t>施政報告中宣佈，自</w:t>
      </w:r>
      <w:r w:rsidRPr="009D3524">
        <w:rPr>
          <w:rFonts w:ascii="Times New Roman" w:eastAsia="標楷體" w:hAnsi="Times New Roman"/>
        </w:rPr>
        <w:t>2008</w:t>
      </w:r>
      <w:r>
        <w:rPr>
          <w:rFonts w:ascii="Times New Roman" w:eastAsia="標楷體" w:hAnsi="Times New Roman" w:hint="eastAsia"/>
        </w:rPr>
        <w:t>-</w:t>
      </w:r>
      <w:r w:rsidRPr="009D3524">
        <w:rPr>
          <w:rFonts w:ascii="Times New Roman" w:eastAsia="標楷體" w:hAnsi="Times New Roman"/>
        </w:rPr>
        <w:t>09</w:t>
      </w:r>
      <w:r w:rsidRPr="009D3524">
        <w:rPr>
          <w:rFonts w:ascii="Times New Roman" w:eastAsia="標楷體" w:hAnsi="Times New Roman"/>
        </w:rPr>
        <w:t>年財政年度將利得稅減少</w:t>
      </w:r>
      <w:r w:rsidRPr="009D3524">
        <w:rPr>
          <w:rFonts w:ascii="Times New Roman" w:eastAsia="標楷體" w:hAnsi="Times New Roman"/>
        </w:rPr>
        <w:t>1%(</w:t>
      </w:r>
      <w:r w:rsidRPr="009D3524">
        <w:rPr>
          <w:rFonts w:ascii="Times New Roman" w:eastAsia="標楷體" w:hAnsi="Times New Roman"/>
        </w:rPr>
        <w:t>即從</w:t>
      </w:r>
      <w:r w:rsidRPr="009D3524">
        <w:rPr>
          <w:rFonts w:ascii="Times New Roman" w:eastAsia="標楷體" w:hAnsi="Times New Roman"/>
        </w:rPr>
        <w:t>17.5%</w:t>
      </w:r>
      <w:r w:rsidRPr="009D3524">
        <w:rPr>
          <w:rFonts w:ascii="Times New Roman" w:eastAsia="標楷體" w:hAnsi="Times New Roman"/>
        </w:rPr>
        <w:t>削減至</w:t>
      </w:r>
      <w:r w:rsidRPr="009D3524">
        <w:rPr>
          <w:rFonts w:ascii="Times New Roman" w:eastAsia="標楷體" w:hAnsi="Times New Roman"/>
        </w:rPr>
        <w:t>16.5%)(</w:t>
      </w:r>
      <w:hyperlink r:id="rId1" w:history="1">
        <w:r w:rsidRPr="009D3524">
          <w:rPr>
            <w:rStyle w:val="aa"/>
            <w:rFonts w:ascii="Times New Roman" w:eastAsia="標楷體" w:hAnsi="Times New Roman"/>
          </w:rPr>
          <w:t>http://www.policyaddress.gov.hk/07-08/chi/p70.html</w:t>
        </w:r>
      </w:hyperlink>
      <w:r w:rsidRPr="009D3524">
        <w:rPr>
          <w:rFonts w:ascii="Times New Roman" w:eastAsia="標楷體" w:hAnsi="Times New Roman"/>
        </w:rPr>
        <w:t>)</w:t>
      </w:r>
      <w:r w:rsidRPr="009D3524">
        <w:rPr>
          <w:rFonts w:ascii="Times New Roman" w:eastAsia="標楷體" w:hAnsi="Times New Roman"/>
        </w:rPr>
        <w:t>後，本港每個財政年度於利得稅上的收入均有所減少，至今已少收累積近</w:t>
      </w:r>
      <w:r w:rsidRPr="009D3524">
        <w:rPr>
          <w:rFonts w:ascii="Times New Roman" w:eastAsia="標楷體" w:hAnsi="Times New Roman"/>
        </w:rPr>
        <w:t>400</w:t>
      </w:r>
      <w:r w:rsidRPr="009D3524">
        <w:rPr>
          <w:rFonts w:ascii="Times New Roman" w:eastAsia="標楷體" w:hAnsi="Times New Roman"/>
        </w:rPr>
        <w:t>億港元。若以當年利得稅金額計算，每</w:t>
      </w:r>
      <w:r>
        <w:rPr>
          <w:rFonts w:ascii="Times New Roman" w:eastAsia="標楷體" w:hAnsi="Times New Roman" w:hint="eastAsia"/>
        </w:rPr>
        <w:t>個財政年度實少收利得稅如下</w:t>
      </w:r>
      <w:r>
        <w:rPr>
          <w:rFonts w:ascii="Times New Roman" w:eastAsia="標楷體" w:hAnsi="Times New Roman" w:hint="eastAsia"/>
        </w:rPr>
        <w:t>:</w:t>
      </w:r>
    </w:p>
    <w:tbl>
      <w:tblPr>
        <w:tblW w:w="10242" w:type="dxa"/>
        <w:jc w:val="center"/>
        <w:tblInd w:w="-1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1138"/>
        <w:gridCol w:w="1139"/>
        <w:gridCol w:w="1139"/>
        <w:gridCol w:w="1138"/>
        <w:gridCol w:w="1873"/>
        <w:gridCol w:w="1860"/>
      </w:tblGrid>
      <w:tr w:rsidR="007D3ED3" w:rsidRPr="00C63332" w:rsidTr="005E3C9D">
        <w:trPr>
          <w:jc w:val="center"/>
        </w:trPr>
        <w:tc>
          <w:tcPr>
            <w:tcW w:w="1955" w:type="dxa"/>
            <w:shd w:val="clear" w:color="auto" w:fill="F2F2F2"/>
            <w:vAlign w:val="center"/>
          </w:tcPr>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b/>
              </w:rPr>
              <w:t>財政年度</w:t>
            </w:r>
          </w:p>
        </w:tc>
        <w:tc>
          <w:tcPr>
            <w:tcW w:w="1138" w:type="dxa"/>
            <w:shd w:val="clear" w:color="auto" w:fill="F2F2F2"/>
            <w:vAlign w:val="center"/>
          </w:tcPr>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b/>
              </w:rPr>
              <w:t>2009</w:t>
            </w:r>
            <w:r>
              <w:rPr>
                <w:rFonts w:ascii="Times New Roman" w:eastAsia="標楷體" w:hAnsi="Times New Roman" w:hint="eastAsia"/>
                <w:b/>
              </w:rPr>
              <w:t>-</w:t>
            </w:r>
            <w:r w:rsidRPr="00C63332">
              <w:rPr>
                <w:rFonts w:ascii="Times New Roman" w:eastAsia="標楷體" w:hAnsi="Times New Roman"/>
                <w:b/>
              </w:rPr>
              <w:t>10</w:t>
            </w:r>
          </w:p>
        </w:tc>
        <w:tc>
          <w:tcPr>
            <w:tcW w:w="1139" w:type="dxa"/>
            <w:shd w:val="clear" w:color="auto" w:fill="F2F2F2"/>
            <w:vAlign w:val="center"/>
          </w:tcPr>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b/>
              </w:rPr>
              <w:t>2010</w:t>
            </w:r>
            <w:r>
              <w:rPr>
                <w:rFonts w:ascii="Times New Roman" w:eastAsia="標楷體" w:hAnsi="Times New Roman" w:hint="eastAsia"/>
                <w:b/>
              </w:rPr>
              <w:t>-</w:t>
            </w:r>
            <w:r w:rsidRPr="00C63332">
              <w:rPr>
                <w:rFonts w:ascii="Times New Roman" w:eastAsia="標楷體" w:hAnsi="Times New Roman"/>
                <w:b/>
              </w:rPr>
              <w:t>11</w:t>
            </w:r>
          </w:p>
        </w:tc>
        <w:tc>
          <w:tcPr>
            <w:tcW w:w="1139" w:type="dxa"/>
            <w:shd w:val="clear" w:color="auto" w:fill="F2F2F2"/>
            <w:vAlign w:val="center"/>
          </w:tcPr>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b/>
              </w:rPr>
              <w:t>2011</w:t>
            </w:r>
            <w:r>
              <w:rPr>
                <w:rFonts w:ascii="Times New Roman" w:eastAsia="標楷體" w:hAnsi="Times New Roman" w:hint="eastAsia"/>
                <w:b/>
              </w:rPr>
              <w:t>-</w:t>
            </w:r>
            <w:r w:rsidRPr="00C63332">
              <w:rPr>
                <w:rFonts w:ascii="Times New Roman" w:eastAsia="標楷體" w:hAnsi="Times New Roman"/>
                <w:b/>
              </w:rPr>
              <w:t>12</w:t>
            </w:r>
          </w:p>
        </w:tc>
        <w:tc>
          <w:tcPr>
            <w:tcW w:w="1138" w:type="dxa"/>
            <w:shd w:val="clear" w:color="auto" w:fill="F2F2F2"/>
            <w:vAlign w:val="center"/>
          </w:tcPr>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b/>
              </w:rPr>
              <w:t>2012</w:t>
            </w:r>
            <w:r>
              <w:rPr>
                <w:rFonts w:ascii="Times New Roman" w:eastAsia="標楷體" w:hAnsi="Times New Roman" w:hint="eastAsia"/>
                <w:b/>
              </w:rPr>
              <w:t>-</w:t>
            </w:r>
            <w:r w:rsidRPr="00C63332">
              <w:rPr>
                <w:rFonts w:ascii="Times New Roman" w:eastAsia="標楷體" w:hAnsi="Times New Roman"/>
                <w:b/>
              </w:rPr>
              <w:t>13</w:t>
            </w:r>
          </w:p>
        </w:tc>
        <w:tc>
          <w:tcPr>
            <w:tcW w:w="1873" w:type="dxa"/>
            <w:shd w:val="clear" w:color="auto" w:fill="F2F2F2"/>
            <w:vAlign w:val="center"/>
          </w:tcPr>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b/>
              </w:rPr>
              <w:t>2013</w:t>
            </w:r>
            <w:r>
              <w:rPr>
                <w:rFonts w:ascii="Times New Roman" w:eastAsia="標楷體" w:hAnsi="Times New Roman" w:hint="eastAsia"/>
                <w:b/>
              </w:rPr>
              <w:t>-</w:t>
            </w:r>
            <w:r w:rsidRPr="00C63332">
              <w:rPr>
                <w:rFonts w:ascii="Times New Roman" w:eastAsia="標楷體" w:hAnsi="Times New Roman"/>
                <w:b/>
              </w:rPr>
              <w:t>14</w:t>
            </w:r>
            <w:r w:rsidRPr="00C63332">
              <w:rPr>
                <w:rFonts w:ascii="Times New Roman" w:eastAsia="標楷體" w:hAnsi="Times New Roman" w:hint="eastAsia"/>
                <w:b/>
              </w:rPr>
              <w:t>(</w:t>
            </w:r>
            <w:r w:rsidRPr="00C63332">
              <w:rPr>
                <w:rFonts w:ascii="Times New Roman" w:eastAsia="標楷體" w:hAnsi="Times New Roman" w:hint="eastAsia"/>
                <w:b/>
              </w:rPr>
              <w:t>修訂預算</w:t>
            </w:r>
            <w:r w:rsidRPr="00C63332">
              <w:rPr>
                <w:rFonts w:ascii="Times New Roman" w:eastAsia="標楷體" w:hAnsi="Times New Roman" w:hint="eastAsia"/>
                <w:b/>
              </w:rPr>
              <w:t>)</w:t>
            </w:r>
          </w:p>
        </w:tc>
        <w:tc>
          <w:tcPr>
            <w:tcW w:w="1860" w:type="dxa"/>
            <w:shd w:val="clear" w:color="auto" w:fill="F2F2F2"/>
            <w:vAlign w:val="center"/>
          </w:tcPr>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b/>
              </w:rPr>
              <w:t>201</w:t>
            </w:r>
            <w:r w:rsidRPr="00C63332">
              <w:rPr>
                <w:rFonts w:ascii="Times New Roman" w:eastAsia="標楷體" w:hAnsi="Times New Roman" w:hint="eastAsia"/>
                <w:b/>
              </w:rPr>
              <w:t>4</w:t>
            </w:r>
            <w:r>
              <w:rPr>
                <w:rFonts w:ascii="Times New Roman" w:eastAsia="標楷體" w:hAnsi="Times New Roman" w:hint="eastAsia"/>
                <w:b/>
              </w:rPr>
              <w:t>-</w:t>
            </w:r>
            <w:r w:rsidRPr="00C63332">
              <w:rPr>
                <w:rFonts w:ascii="Times New Roman" w:eastAsia="標楷體" w:hAnsi="Times New Roman"/>
                <w:b/>
              </w:rPr>
              <w:t>1</w:t>
            </w:r>
            <w:r w:rsidRPr="00C63332">
              <w:rPr>
                <w:rFonts w:ascii="Times New Roman" w:eastAsia="標楷體" w:hAnsi="Times New Roman" w:hint="eastAsia"/>
                <w:b/>
              </w:rPr>
              <w:t>5(</w:t>
            </w:r>
            <w:r w:rsidRPr="00C63332">
              <w:rPr>
                <w:rFonts w:ascii="Times New Roman" w:eastAsia="標楷體" w:hAnsi="Times New Roman" w:hint="eastAsia"/>
                <w:b/>
              </w:rPr>
              <w:t>原來預算</w:t>
            </w:r>
            <w:r w:rsidRPr="00C63332">
              <w:rPr>
                <w:rFonts w:ascii="Times New Roman" w:eastAsia="標楷體" w:hAnsi="Times New Roman" w:hint="eastAsia"/>
                <w:b/>
              </w:rPr>
              <w:t>)</w:t>
            </w:r>
          </w:p>
        </w:tc>
      </w:tr>
      <w:tr w:rsidR="007D3ED3" w:rsidRPr="00C63332" w:rsidTr="005E3C9D">
        <w:trPr>
          <w:jc w:val="center"/>
        </w:trPr>
        <w:tc>
          <w:tcPr>
            <w:tcW w:w="1955" w:type="dxa"/>
            <w:shd w:val="clear" w:color="auto" w:fill="auto"/>
          </w:tcPr>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b/>
              </w:rPr>
              <w:t>利得稅</w:t>
            </w:r>
            <w:r w:rsidRPr="00C63332">
              <w:rPr>
                <w:rFonts w:ascii="Times New Roman" w:eastAsia="標楷體" w:hAnsi="Times New Roman"/>
                <w:b/>
              </w:rPr>
              <w:t>(</w:t>
            </w:r>
            <w:r w:rsidRPr="00C63332">
              <w:rPr>
                <w:rFonts w:ascii="Times New Roman" w:eastAsia="標楷體" w:hAnsi="Times New Roman"/>
                <w:b/>
              </w:rPr>
              <w:t>億元</w:t>
            </w:r>
            <w:r w:rsidRPr="00C63332">
              <w:rPr>
                <w:rFonts w:ascii="Times New Roman" w:eastAsia="標楷體" w:hAnsi="Times New Roman"/>
                <w:b/>
              </w:rPr>
              <w:t>)</w:t>
            </w:r>
          </w:p>
        </w:tc>
        <w:tc>
          <w:tcPr>
            <w:tcW w:w="1138" w:type="dxa"/>
            <w:shd w:val="clear" w:color="auto" w:fill="auto"/>
            <w:vAlign w:val="center"/>
          </w:tcPr>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b/>
              </w:rPr>
              <w:t>766.1</w:t>
            </w:r>
          </w:p>
        </w:tc>
        <w:tc>
          <w:tcPr>
            <w:tcW w:w="1139" w:type="dxa"/>
            <w:shd w:val="clear" w:color="auto" w:fill="auto"/>
            <w:vAlign w:val="center"/>
          </w:tcPr>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b/>
              </w:rPr>
              <w:t>931.8</w:t>
            </w:r>
          </w:p>
        </w:tc>
        <w:tc>
          <w:tcPr>
            <w:tcW w:w="1139" w:type="dxa"/>
            <w:shd w:val="clear" w:color="auto" w:fill="auto"/>
            <w:vAlign w:val="center"/>
          </w:tcPr>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b/>
              </w:rPr>
              <w:t>1</w:t>
            </w:r>
            <w:r w:rsidRPr="00C63332">
              <w:rPr>
                <w:rFonts w:ascii="Times New Roman" w:eastAsia="標楷體" w:hAnsi="Times New Roman" w:hint="eastAsia"/>
                <w:b/>
              </w:rPr>
              <w:t>,</w:t>
            </w:r>
            <w:r w:rsidRPr="00C63332">
              <w:rPr>
                <w:rFonts w:ascii="Times New Roman" w:eastAsia="標楷體" w:hAnsi="Times New Roman"/>
                <w:b/>
              </w:rPr>
              <w:t>186.0</w:t>
            </w:r>
          </w:p>
        </w:tc>
        <w:tc>
          <w:tcPr>
            <w:tcW w:w="1138" w:type="dxa"/>
            <w:shd w:val="clear" w:color="auto" w:fill="auto"/>
            <w:vAlign w:val="center"/>
          </w:tcPr>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b/>
              </w:rPr>
              <w:t>1</w:t>
            </w:r>
            <w:r w:rsidRPr="00C63332">
              <w:rPr>
                <w:rFonts w:ascii="Times New Roman" w:eastAsia="標楷體" w:hAnsi="Times New Roman" w:hint="eastAsia"/>
                <w:b/>
              </w:rPr>
              <w:t>,</w:t>
            </w:r>
            <w:r w:rsidRPr="00C63332">
              <w:rPr>
                <w:rFonts w:ascii="Times New Roman" w:eastAsia="標楷體" w:hAnsi="Times New Roman"/>
                <w:b/>
              </w:rPr>
              <w:t>256.4</w:t>
            </w:r>
          </w:p>
        </w:tc>
        <w:tc>
          <w:tcPr>
            <w:tcW w:w="1873" w:type="dxa"/>
            <w:shd w:val="clear" w:color="auto" w:fill="auto"/>
            <w:vAlign w:val="center"/>
          </w:tcPr>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b/>
              </w:rPr>
              <w:t>1</w:t>
            </w:r>
            <w:r w:rsidRPr="00C63332">
              <w:rPr>
                <w:rFonts w:ascii="Times New Roman" w:eastAsia="標楷體" w:hAnsi="Times New Roman" w:hint="eastAsia"/>
                <w:b/>
              </w:rPr>
              <w:t>,</w:t>
            </w:r>
            <w:r w:rsidRPr="00C63332">
              <w:rPr>
                <w:rFonts w:ascii="Times New Roman" w:eastAsia="標楷體" w:hAnsi="Times New Roman"/>
                <w:b/>
              </w:rPr>
              <w:t>195.0</w:t>
            </w:r>
          </w:p>
        </w:tc>
        <w:tc>
          <w:tcPr>
            <w:tcW w:w="1860" w:type="dxa"/>
            <w:shd w:val="clear" w:color="auto" w:fill="auto"/>
            <w:vAlign w:val="center"/>
          </w:tcPr>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hint="eastAsia"/>
                <w:b/>
              </w:rPr>
              <w:t>1,175.7</w:t>
            </w:r>
          </w:p>
        </w:tc>
      </w:tr>
      <w:tr w:rsidR="007D3ED3" w:rsidRPr="00C63332" w:rsidTr="005E3C9D">
        <w:trPr>
          <w:jc w:val="center"/>
        </w:trPr>
        <w:tc>
          <w:tcPr>
            <w:tcW w:w="1955" w:type="dxa"/>
            <w:shd w:val="clear" w:color="auto" w:fill="auto"/>
          </w:tcPr>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b/>
              </w:rPr>
              <w:t>恢復</w:t>
            </w:r>
            <w:r w:rsidRPr="00C63332">
              <w:rPr>
                <w:rFonts w:ascii="Times New Roman" w:eastAsia="標楷體" w:hAnsi="Times New Roman"/>
                <w:b/>
              </w:rPr>
              <w:t>1%</w:t>
            </w:r>
            <w:r w:rsidRPr="00C63332">
              <w:rPr>
                <w:rFonts w:ascii="Times New Roman" w:eastAsia="標楷體" w:hAnsi="Times New Roman"/>
                <w:b/>
              </w:rPr>
              <w:t>利得稅</w:t>
            </w:r>
            <w:r w:rsidRPr="00C63332">
              <w:rPr>
                <w:rFonts w:ascii="Times New Roman" w:eastAsia="標楷體" w:hAnsi="Times New Roman" w:hint="eastAsia"/>
                <w:b/>
              </w:rPr>
              <w:t>後</w:t>
            </w:r>
          </w:p>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hint="eastAsia"/>
                <w:b/>
              </w:rPr>
              <w:t>額外</w:t>
            </w:r>
            <w:r w:rsidRPr="00C63332">
              <w:rPr>
                <w:rFonts w:ascii="Times New Roman" w:eastAsia="標楷體" w:hAnsi="Times New Roman"/>
                <w:b/>
              </w:rPr>
              <w:t>可獲金額</w:t>
            </w:r>
            <w:r w:rsidRPr="00C63332">
              <w:rPr>
                <w:rFonts w:ascii="Times New Roman" w:eastAsia="標楷體" w:hAnsi="Times New Roman"/>
                <w:b/>
              </w:rPr>
              <w:t>(</w:t>
            </w:r>
            <w:r w:rsidRPr="00C63332">
              <w:rPr>
                <w:rFonts w:ascii="Times New Roman" w:eastAsia="標楷體" w:hAnsi="Times New Roman"/>
                <w:b/>
              </w:rPr>
              <w:t>億元</w:t>
            </w:r>
            <w:r w:rsidRPr="00C63332">
              <w:rPr>
                <w:rFonts w:ascii="Times New Roman" w:eastAsia="標楷體" w:hAnsi="Times New Roman"/>
                <w:b/>
              </w:rPr>
              <w:t>)</w:t>
            </w:r>
          </w:p>
        </w:tc>
        <w:tc>
          <w:tcPr>
            <w:tcW w:w="1138" w:type="dxa"/>
            <w:shd w:val="clear" w:color="auto" w:fill="auto"/>
            <w:vAlign w:val="center"/>
          </w:tcPr>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hint="eastAsia"/>
                <w:b/>
              </w:rPr>
              <w:t>46.4</w:t>
            </w:r>
          </w:p>
        </w:tc>
        <w:tc>
          <w:tcPr>
            <w:tcW w:w="1139" w:type="dxa"/>
            <w:shd w:val="clear" w:color="auto" w:fill="auto"/>
            <w:vAlign w:val="center"/>
          </w:tcPr>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hint="eastAsia"/>
                <w:b/>
              </w:rPr>
              <w:t>56.5</w:t>
            </w:r>
          </w:p>
        </w:tc>
        <w:tc>
          <w:tcPr>
            <w:tcW w:w="1139" w:type="dxa"/>
            <w:shd w:val="clear" w:color="auto" w:fill="auto"/>
            <w:vAlign w:val="center"/>
          </w:tcPr>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hint="eastAsia"/>
                <w:b/>
              </w:rPr>
              <w:t>71.9</w:t>
            </w:r>
          </w:p>
        </w:tc>
        <w:tc>
          <w:tcPr>
            <w:tcW w:w="1138" w:type="dxa"/>
            <w:shd w:val="clear" w:color="auto" w:fill="auto"/>
            <w:vAlign w:val="center"/>
          </w:tcPr>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hint="eastAsia"/>
                <w:b/>
              </w:rPr>
              <w:t>76.1</w:t>
            </w:r>
          </w:p>
        </w:tc>
        <w:tc>
          <w:tcPr>
            <w:tcW w:w="1873" w:type="dxa"/>
            <w:shd w:val="clear" w:color="auto" w:fill="auto"/>
            <w:vAlign w:val="center"/>
          </w:tcPr>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hint="eastAsia"/>
                <w:b/>
              </w:rPr>
              <w:t>72.4</w:t>
            </w:r>
          </w:p>
        </w:tc>
        <w:tc>
          <w:tcPr>
            <w:tcW w:w="1860" w:type="dxa"/>
            <w:shd w:val="clear" w:color="auto" w:fill="auto"/>
            <w:vAlign w:val="center"/>
          </w:tcPr>
          <w:p w:rsidR="007D3ED3" w:rsidRPr="00C63332" w:rsidRDefault="007D3ED3" w:rsidP="005E3C9D">
            <w:pPr>
              <w:pStyle w:val="a7"/>
              <w:spacing w:line="200" w:lineRule="exact"/>
              <w:jc w:val="center"/>
              <w:rPr>
                <w:rFonts w:ascii="Times New Roman" w:eastAsia="標楷體" w:hAnsi="Times New Roman"/>
                <w:b/>
              </w:rPr>
            </w:pPr>
            <w:r w:rsidRPr="00C63332">
              <w:rPr>
                <w:rFonts w:ascii="Times New Roman" w:eastAsia="標楷體" w:hAnsi="Times New Roman" w:hint="eastAsia"/>
                <w:b/>
              </w:rPr>
              <w:t>71.3</w:t>
            </w:r>
          </w:p>
        </w:tc>
      </w:tr>
    </w:tbl>
    <w:p w:rsidR="007D3ED3" w:rsidRPr="00C63332" w:rsidRDefault="007D3ED3" w:rsidP="007D3ED3">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4C80"/>
    <w:multiLevelType w:val="hybridMultilevel"/>
    <w:tmpl w:val="A1469680"/>
    <w:lvl w:ilvl="0" w:tplc="122EC5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D836E07"/>
    <w:multiLevelType w:val="hybridMultilevel"/>
    <w:tmpl w:val="B9766E1E"/>
    <w:lvl w:ilvl="0" w:tplc="2328F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DA5C54"/>
    <w:multiLevelType w:val="hybridMultilevel"/>
    <w:tmpl w:val="1786CA08"/>
    <w:lvl w:ilvl="0" w:tplc="554EF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12"/>
    <w:rsid w:val="00012527"/>
    <w:rsid w:val="00021647"/>
    <w:rsid w:val="00070E12"/>
    <w:rsid w:val="00084693"/>
    <w:rsid w:val="000863EB"/>
    <w:rsid w:val="000B14F0"/>
    <w:rsid w:val="000B7CF8"/>
    <w:rsid w:val="000C3D8A"/>
    <w:rsid w:val="000C491C"/>
    <w:rsid w:val="000C57FD"/>
    <w:rsid w:val="000D6EDF"/>
    <w:rsid w:val="000E42CB"/>
    <w:rsid w:val="000E61DE"/>
    <w:rsid w:val="000F6D9B"/>
    <w:rsid w:val="00110D80"/>
    <w:rsid w:val="00111312"/>
    <w:rsid w:val="00113622"/>
    <w:rsid w:val="001142B7"/>
    <w:rsid w:val="00121980"/>
    <w:rsid w:val="00126D5D"/>
    <w:rsid w:val="0016575C"/>
    <w:rsid w:val="001E5352"/>
    <w:rsid w:val="001F4469"/>
    <w:rsid w:val="001F6B5E"/>
    <w:rsid w:val="00200435"/>
    <w:rsid w:val="002155EE"/>
    <w:rsid w:val="002370F6"/>
    <w:rsid w:val="002447BE"/>
    <w:rsid w:val="00256975"/>
    <w:rsid w:val="00281B19"/>
    <w:rsid w:val="002B54DD"/>
    <w:rsid w:val="002C28A4"/>
    <w:rsid w:val="002C29AD"/>
    <w:rsid w:val="003122A3"/>
    <w:rsid w:val="00334188"/>
    <w:rsid w:val="003377C9"/>
    <w:rsid w:val="00344FED"/>
    <w:rsid w:val="0036173B"/>
    <w:rsid w:val="00374F6B"/>
    <w:rsid w:val="003A14B2"/>
    <w:rsid w:val="003A3903"/>
    <w:rsid w:val="003B3130"/>
    <w:rsid w:val="003C7E00"/>
    <w:rsid w:val="003F0C18"/>
    <w:rsid w:val="00420D91"/>
    <w:rsid w:val="00423375"/>
    <w:rsid w:val="004274EC"/>
    <w:rsid w:val="004309E1"/>
    <w:rsid w:val="00431D0A"/>
    <w:rsid w:val="004361AF"/>
    <w:rsid w:val="00437FD2"/>
    <w:rsid w:val="00456D30"/>
    <w:rsid w:val="00462218"/>
    <w:rsid w:val="004B7F5E"/>
    <w:rsid w:val="004C4516"/>
    <w:rsid w:val="004D73E4"/>
    <w:rsid w:val="004E31BA"/>
    <w:rsid w:val="00505084"/>
    <w:rsid w:val="005225DC"/>
    <w:rsid w:val="00532CFF"/>
    <w:rsid w:val="0053496B"/>
    <w:rsid w:val="0054626B"/>
    <w:rsid w:val="00563191"/>
    <w:rsid w:val="00567B01"/>
    <w:rsid w:val="00577751"/>
    <w:rsid w:val="005D429A"/>
    <w:rsid w:val="005E3C9D"/>
    <w:rsid w:val="005F334D"/>
    <w:rsid w:val="006165A7"/>
    <w:rsid w:val="00662B2C"/>
    <w:rsid w:val="00665791"/>
    <w:rsid w:val="0068374A"/>
    <w:rsid w:val="006E7428"/>
    <w:rsid w:val="0070007F"/>
    <w:rsid w:val="00700A39"/>
    <w:rsid w:val="007024D3"/>
    <w:rsid w:val="00706015"/>
    <w:rsid w:val="00706813"/>
    <w:rsid w:val="00724555"/>
    <w:rsid w:val="007274A5"/>
    <w:rsid w:val="0073656C"/>
    <w:rsid w:val="0074234B"/>
    <w:rsid w:val="00776606"/>
    <w:rsid w:val="00793213"/>
    <w:rsid w:val="007950CD"/>
    <w:rsid w:val="007A0143"/>
    <w:rsid w:val="007C0D8B"/>
    <w:rsid w:val="007D3ED3"/>
    <w:rsid w:val="007E0951"/>
    <w:rsid w:val="007E4467"/>
    <w:rsid w:val="00843B7A"/>
    <w:rsid w:val="008447F3"/>
    <w:rsid w:val="00887541"/>
    <w:rsid w:val="008917FA"/>
    <w:rsid w:val="008A0E8B"/>
    <w:rsid w:val="008A5707"/>
    <w:rsid w:val="008A7E05"/>
    <w:rsid w:val="00902815"/>
    <w:rsid w:val="009041C2"/>
    <w:rsid w:val="00906066"/>
    <w:rsid w:val="00921891"/>
    <w:rsid w:val="009273FF"/>
    <w:rsid w:val="0094077F"/>
    <w:rsid w:val="0096350F"/>
    <w:rsid w:val="00975FDE"/>
    <w:rsid w:val="00980D27"/>
    <w:rsid w:val="009A170A"/>
    <w:rsid w:val="009B7DEF"/>
    <w:rsid w:val="009C0E6C"/>
    <w:rsid w:val="009D7BFC"/>
    <w:rsid w:val="009F5C37"/>
    <w:rsid w:val="00A04C1B"/>
    <w:rsid w:val="00A15EC2"/>
    <w:rsid w:val="00A2148F"/>
    <w:rsid w:val="00A35AE4"/>
    <w:rsid w:val="00A52518"/>
    <w:rsid w:val="00A658AD"/>
    <w:rsid w:val="00A77283"/>
    <w:rsid w:val="00AA1531"/>
    <w:rsid w:val="00AA7F4B"/>
    <w:rsid w:val="00AE7FB4"/>
    <w:rsid w:val="00AF1CEF"/>
    <w:rsid w:val="00B11F8B"/>
    <w:rsid w:val="00B1686B"/>
    <w:rsid w:val="00B176DB"/>
    <w:rsid w:val="00B17D9C"/>
    <w:rsid w:val="00B20F4B"/>
    <w:rsid w:val="00B21CFD"/>
    <w:rsid w:val="00B54AA3"/>
    <w:rsid w:val="00B65080"/>
    <w:rsid w:val="00B90AED"/>
    <w:rsid w:val="00BA7C80"/>
    <w:rsid w:val="00BC0B25"/>
    <w:rsid w:val="00BC5077"/>
    <w:rsid w:val="00BD2001"/>
    <w:rsid w:val="00C16010"/>
    <w:rsid w:val="00C16E7C"/>
    <w:rsid w:val="00C216F6"/>
    <w:rsid w:val="00C22CAE"/>
    <w:rsid w:val="00C33394"/>
    <w:rsid w:val="00C35688"/>
    <w:rsid w:val="00C400C4"/>
    <w:rsid w:val="00C42FC7"/>
    <w:rsid w:val="00C8582D"/>
    <w:rsid w:val="00CA32A6"/>
    <w:rsid w:val="00CC519F"/>
    <w:rsid w:val="00CC5A3B"/>
    <w:rsid w:val="00CD23BB"/>
    <w:rsid w:val="00CD6D40"/>
    <w:rsid w:val="00D520F0"/>
    <w:rsid w:val="00DA2AE0"/>
    <w:rsid w:val="00DB75C1"/>
    <w:rsid w:val="00DE233A"/>
    <w:rsid w:val="00DF34A3"/>
    <w:rsid w:val="00E02569"/>
    <w:rsid w:val="00E03FEE"/>
    <w:rsid w:val="00E229A5"/>
    <w:rsid w:val="00E329FF"/>
    <w:rsid w:val="00E52D02"/>
    <w:rsid w:val="00E53002"/>
    <w:rsid w:val="00E544C9"/>
    <w:rsid w:val="00E74A43"/>
    <w:rsid w:val="00E75563"/>
    <w:rsid w:val="00E87194"/>
    <w:rsid w:val="00EB3353"/>
    <w:rsid w:val="00ED1869"/>
    <w:rsid w:val="00ED1A2E"/>
    <w:rsid w:val="00F522A4"/>
    <w:rsid w:val="00F703A8"/>
    <w:rsid w:val="00F761F5"/>
    <w:rsid w:val="00FA5B5D"/>
    <w:rsid w:val="00FA5D3A"/>
    <w:rsid w:val="00FB2954"/>
    <w:rsid w:val="00FC25A9"/>
    <w:rsid w:val="00FC5403"/>
    <w:rsid w:val="00FC5D24"/>
    <w:rsid w:val="00FD57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010"/>
    <w:pPr>
      <w:ind w:leftChars="200" w:left="480"/>
    </w:pPr>
  </w:style>
  <w:style w:type="character" w:styleId="a4">
    <w:name w:val="Placeholder Text"/>
    <w:basedOn w:val="a0"/>
    <w:uiPriority w:val="99"/>
    <w:semiHidden/>
    <w:rsid w:val="00A15EC2"/>
    <w:rPr>
      <w:color w:val="808080"/>
    </w:rPr>
  </w:style>
  <w:style w:type="paragraph" w:styleId="a5">
    <w:name w:val="Balloon Text"/>
    <w:basedOn w:val="a"/>
    <w:link w:val="a6"/>
    <w:uiPriority w:val="99"/>
    <w:semiHidden/>
    <w:unhideWhenUsed/>
    <w:rsid w:val="00A15E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15EC2"/>
    <w:rPr>
      <w:rFonts w:asciiTheme="majorHAnsi" w:eastAsiaTheme="majorEastAsia" w:hAnsiTheme="majorHAnsi" w:cstheme="majorBidi"/>
      <w:sz w:val="18"/>
      <w:szCs w:val="18"/>
    </w:rPr>
  </w:style>
  <w:style w:type="character" w:customStyle="1" w:styleId="tooltipstyle">
    <w:name w:val="tooltip_style"/>
    <w:basedOn w:val="a0"/>
    <w:rsid w:val="00CC519F"/>
  </w:style>
  <w:style w:type="paragraph" w:styleId="a7">
    <w:name w:val="footnote text"/>
    <w:basedOn w:val="a"/>
    <w:link w:val="a8"/>
    <w:uiPriority w:val="99"/>
    <w:unhideWhenUsed/>
    <w:rsid w:val="007D3ED3"/>
    <w:pPr>
      <w:snapToGrid w:val="0"/>
    </w:pPr>
    <w:rPr>
      <w:rFonts w:ascii="Calibri" w:eastAsia="新細明體" w:hAnsi="Calibri" w:cs="Times New Roman"/>
      <w:sz w:val="20"/>
      <w:szCs w:val="20"/>
    </w:rPr>
  </w:style>
  <w:style w:type="character" w:customStyle="1" w:styleId="a8">
    <w:name w:val="註腳文字 字元"/>
    <w:basedOn w:val="a0"/>
    <w:link w:val="a7"/>
    <w:uiPriority w:val="99"/>
    <w:rsid w:val="007D3ED3"/>
    <w:rPr>
      <w:rFonts w:ascii="Calibri" w:eastAsia="新細明體" w:hAnsi="Calibri" w:cs="Times New Roman"/>
      <w:sz w:val="20"/>
      <w:szCs w:val="20"/>
    </w:rPr>
  </w:style>
  <w:style w:type="character" w:styleId="a9">
    <w:name w:val="footnote reference"/>
    <w:uiPriority w:val="99"/>
    <w:semiHidden/>
    <w:unhideWhenUsed/>
    <w:rsid w:val="007D3ED3"/>
    <w:rPr>
      <w:vertAlign w:val="superscript"/>
    </w:rPr>
  </w:style>
  <w:style w:type="character" w:styleId="aa">
    <w:name w:val="Hyperlink"/>
    <w:uiPriority w:val="99"/>
    <w:unhideWhenUsed/>
    <w:rsid w:val="007D3ED3"/>
    <w:rPr>
      <w:color w:val="0000FF"/>
      <w:u w:val="single"/>
    </w:rPr>
  </w:style>
  <w:style w:type="paragraph" w:customStyle="1" w:styleId="Default">
    <w:name w:val="Default"/>
    <w:rsid w:val="005F334D"/>
    <w:pPr>
      <w:widowControl w:val="0"/>
      <w:autoSpaceDE w:val="0"/>
      <w:autoSpaceDN w:val="0"/>
      <w:adjustRightInd w:val="0"/>
    </w:pPr>
    <w:rPr>
      <w:rFonts w:ascii="DFKai-SB" w:hAnsi="DFKai-SB" w:cs="DFKai-SB"/>
      <w:color w:val="000000"/>
      <w:kern w:val="0"/>
      <w:szCs w:val="24"/>
    </w:rPr>
  </w:style>
  <w:style w:type="paragraph" w:styleId="ab">
    <w:name w:val="header"/>
    <w:basedOn w:val="a"/>
    <w:link w:val="ac"/>
    <w:uiPriority w:val="99"/>
    <w:unhideWhenUsed/>
    <w:rsid w:val="00BC0B25"/>
    <w:pPr>
      <w:tabs>
        <w:tab w:val="center" w:pos="4153"/>
        <w:tab w:val="right" w:pos="8306"/>
      </w:tabs>
      <w:snapToGrid w:val="0"/>
    </w:pPr>
    <w:rPr>
      <w:sz w:val="20"/>
      <w:szCs w:val="20"/>
    </w:rPr>
  </w:style>
  <w:style w:type="character" w:customStyle="1" w:styleId="ac">
    <w:name w:val="頁首 字元"/>
    <w:basedOn w:val="a0"/>
    <w:link w:val="ab"/>
    <w:uiPriority w:val="99"/>
    <w:rsid w:val="00BC0B25"/>
    <w:rPr>
      <w:sz w:val="20"/>
      <w:szCs w:val="20"/>
    </w:rPr>
  </w:style>
  <w:style w:type="paragraph" w:styleId="ad">
    <w:name w:val="footer"/>
    <w:basedOn w:val="a"/>
    <w:link w:val="ae"/>
    <w:uiPriority w:val="99"/>
    <w:unhideWhenUsed/>
    <w:rsid w:val="00BC0B25"/>
    <w:pPr>
      <w:tabs>
        <w:tab w:val="center" w:pos="4153"/>
        <w:tab w:val="right" w:pos="8306"/>
      </w:tabs>
      <w:snapToGrid w:val="0"/>
    </w:pPr>
    <w:rPr>
      <w:sz w:val="20"/>
      <w:szCs w:val="20"/>
    </w:rPr>
  </w:style>
  <w:style w:type="character" w:customStyle="1" w:styleId="ae">
    <w:name w:val="頁尾 字元"/>
    <w:basedOn w:val="a0"/>
    <w:link w:val="ad"/>
    <w:uiPriority w:val="99"/>
    <w:rsid w:val="00BC0B2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010"/>
    <w:pPr>
      <w:ind w:leftChars="200" w:left="480"/>
    </w:pPr>
  </w:style>
  <w:style w:type="character" w:styleId="a4">
    <w:name w:val="Placeholder Text"/>
    <w:basedOn w:val="a0"/>
    <w:uiPriority w:val="99"/>
    <w:semiHidden/>
    <w:rsid w:val="00A15EC2"/>
    <w:rPr>
      <w:color w:val="808080"/>
    </w:rPr>
  </w:style>
  <w:style w:type="paragraph" w:styleId="a5">
    <w:name w:val="Balloon Text"/>
    <w:basedOn w:val="a"/>
    <w:link w:val="a6"/>
    <w:uiPriority w:val="99"/>
    <w:semiHidden/>
    <w:unhideWhenUsed/>
    <w:rsid w:val="00A15E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15EC2"/>
    <w:rPr>
      <w:rFonts w:asciiTheme="majorHAnsi" w:eastAsiaTheme="majorEastAsia" w:hAnsiTheme="majorHAnsi" w:cstheme="majorBidi"/>
      <w:sz w:val="18"/>
      <w:szCs w:val="18"/>
    </w:rPr>
  </w:style>
  <w:style w:type="character" w:customStyle="1" w:styleId="tooltipstyle">
    <w:name w:val="tooltip_style"/>
    <w:basedOn w:val="a0"/>
    <w:rsid w:val="00CC519F"/>
  </w:style>
  <w:style w:type="paragraph" w:styleId="a7">
    <w:name w:val="footnote text"/>
    <w:basedOn w:val="a"/>
    <w:link w:val="a8"/>
    <w:uiPriority w:val="99"/>
    <w:unhideWhenUsed/>
    <w:rsid w:val="007D3ED3"/>
    <w:pPr>
      <w:snapToGrid w:val="0"/>
    </w:pPr>
    <w:rPr>
      <w:rFonts w:ascii="Calibri" w:eastAsia="新細明體" w:hAnsi="Calibri" w:cs="Times New Roman"/>
      <w:sz w:val="20"/>
      <w:szCs w:val="20"/>
    </w:rPr>
  </w:style>
  <w:style w:type="character" w:customStyle="1" w:styleId="a8">
    <w:name w:val="註腳文字 字元"/>
    <w:basedOn w:val="a0"/>
    <w:link w:val="a7"/>
    <w:uiPriority w:val="99"/>
    <w:rsid w:val="007D3ED3"/>
    <w:rPr>
      <w:rFonts w:ascii="Calibri" w:eastAsia="新細明體" w:hAnsi="Calibri" w:cs="Times New Roman"/>
      <w:sz w:val="20"/>
      <w:szCs w:val="20"/>
    </w:rPr>
  </w:style>
  <w:style w:type="character" w:styleId="a9">
    <w:name w:val="footnote reference"/>
    <w:uiPriority w:val="99"/>
    <w:semiHidden/>
    <w:unhideWhenUsed/>
    <w:rsid w:val="007D3ED3"/>
    <w:rPr>
      <w:vertAlign w:val="superscript"/>
    </w:rPr>
  </w:style>
  <w:style w:type="character" w:styleId="aa">
    <w:name w:val="Hyperlink"/>
    <w:uiPriority w:val="99"/>
    <w:unhideWhenUsed/>
    <w:rsid w:val="007D3ED3"/>
    <w:rPr>
      <w:color w:val="0000FF"/>
      <w:u w:val="single"/>
    </w:rPr>
  </w:style>
  <w:style w:type="paragraph" w:customStyle="1" w:styleId="Default">
    <w:name w:val="Default"/>
    <w:rsid w:val="005F334D"/>
    <w:pPr>
      <w:widowControl w:val="0"/>
      <w:autoSpaceDE w:val="0"/>
      <w:autoSpaceDN w:val="0"/>
      <w:adjustRightInd w:val="0"/>
    </w:pPr>
    <w:rPr>
      <w:rFonts w:ascii="DFKai-SB" w:hAnsi="DFKai-SB" w:cs="DFKai-SB"/>
      <w:color w:val="000000"/>
      <w:kern w:val="0"/>
      <w:szCs w:val="24"/>
    </w:rPr>
  </w:style>
  <w:style w:type="paragraph" w:styleId="ab">
    <w:name w:val="header"/>
    <w:basedOn w:val="a"/>
    <w:link w:val="ac"/>
    <w:uiPriority w:val="99"/>
    <w:unhideWhenUsed/>
    <w:rsid w:val="00BC0B25"/>
    <w:pPr>
      <w:tabs>
        <w:tab w:val="center" w:pos="4153"/>
        <w:tab w:val="right" w:pos="8306"/>
      </w:tabs>
      <w:snapToGrid w:val="0"/>
    </w:pPr>
    <w:rPr>
      <w:sz w:val="20"/>
      <w:szCs w:val="20"/>
    </w:rPr>
  </w:style>
  <w:style w:type="character" w:customStyle="1" w:styleId="ac">
    <w:name w:val="頁首 字元"/>
    <w:basedOn w:val="a0"/>
    <w:link w:val="ab"/>
    <w:uiPriority w:val="99"/>
    <w:rsid w:val="00BC0B25"/>
    <w:rPr>
      <w:sz w:val="20"/>
      <w:szCs w:val="20"/>
    </w:rPr>
  </w:style>
  <w:style w:type="paragraph" w:styleId="ad">
    <w:name w:val="footer"/>
    <w:basedOn w:val="a"/>
    <w:link w:val="ae"/>
    <w:uiPriority w:val="99"/>
    <w:unhideWhenUsed/>
    <w:rsid w:val="00BC0B25"/>
    <w:pPr>
      <w:tabs>
        <w:tab w:val="center" w:pos="4153"/>
        <w:tab w:val="right" w:pos="8306"/>
      </w:tabs>
      <w:snapToGrid w:val="0"/>
    </w:pPr>
    <w:rPr>
      <w:sz w:val="20"/>
      <w:szCs w:val="20"/>
    </w:rPr>
  </w:style>
  <w:style w:type="character" w:customStyle="1" w:styleId="ae">
    <w:name w:val="頁尾 字元"/>
    <w:basedOn w:val="a0"/>
    <w:link w:val="ad"/>
    <w:uiPriority w:val="99"/>
    <w:rsid w:val="00BC0B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olicyaddress.gov.hk/07-08/chi/p70.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412</Words>
  <Characters>2353</Characters>
  <Application>Microsoft Office Word</Application>
  <DocSecurity>0</DocSecurity>
  <Lines>19</Lines>
  <Paragraphs>5</Paragraphs>
  <ScaleCrop>false</ScaleCrop>
  <Company>Hewlett-Packard Company</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dc:creator>
  <cp:lastModifiedBy>Yuen</cp:lastModifiedBy>
  <cp:revision>186</cp:revision>
  <cp:lastPrinted>2015-01-14T09:29:00Z</cp:lastPrinted>
  <dcterms:created xsi:type="dcterms:W3CDTF">2015-01-13T04:13:00Z</dcterms:created>
  <dcterms:modified xsi:type="dcterms:W3CDTF">2015-01-14T09:41:00Z</dcterms:modified>
</cp:coreProperties>
</file>