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E" w:rsidRPr="00CD46AC" w:rsidRDefault="002A0FC9" w:rsidP="00CD46AC">
      <w:pPr>
        <w:spacing w:after="0" w:line="340" w:lineRule="exact"/>
        <w:jc w:val="center"/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</w:pP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香港社區組織協會</w:t>
      </w: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 xml:space="preserve"> </w:t>
      </w: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回應</w:t>
      </w: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 xml:space="preserve"> </w:t>
      </w:r>
      <w:r w:rsidR="00720A3F"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《</w:t>
      </w: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行政長官</w:t>
      </w:r>
      <w:r w:rsidR="00E220BC"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2</w:t>
      </w:r>
      <w:bookmarkStart w:id="0" w:name="_GoBack"/>
      <w:bookmarkEnd w:id="0"/>
      <w:r w:rsidR="00E220BC"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017</w:t>
      </w:r>
      <w:r w:rsidR="00E220BC"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年</w:t>
      </w: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施政報告</w:t>
      </w:r>
      <w:r w:rsidR="00720A3F"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》</w:t>
      </w: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 xml:space="preserve"> </w:t>
      </w:r>
      <w:r w:rsidRPr="00CD46AC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新聞稿</w:t>
      </w:r>
    </w:p>
    <w:p w:rsidR="008D2DED" w:rsidRPr="00CD46AC" w:rsidRDefault="008D2DED" w:rsidP="00CD46AC">
      <w:pPr>
        <w:spacing w:after="0" w:line="280" w:lineRule="exact"/>
        <w:jc w:val="center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2A0FC9" w:rsidRPr="00CD46AC" w:rsidRDefault="002A0FC9" w:rsidP="00CD46AC">
      <w:pPr>
        <w:spacing w:after="0" w:line="280" w:lineRule="exact"/>
        <w:ind w:firstLine="72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行政長官林鄭月娥今日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(10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月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11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日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公佈上任後首份施政報告，</w:t>
      </w:r>
      <w:r w:rsidR="00720A3F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闡述未來五年的施政方向。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為此，本會回應如下：</w:t>
      </w:r>
    </w:p>
    <w:p w:rsidR="008D2DED" w:rsidRPr="00CD46AC" w:rsidRDefault="008D2DED" w:rsidP="00CD46AC">
      <w:pPr>
        <w:spacing w:after="0" w:line="280" w:lineRule="exact"/>
        <w:ind w:firstLine="72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9425DC" w:rsidRPr="00CD46AC" w:rsidRDefault="009143BF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施政報告就各項支援弱勢社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群及扶貧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計劃提出具體改善建議，包括改革低收入在職家庭</w:t>
      </w:r>
      <w:r w:rsidR="009425DC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津貼、承諾為學前有特殊需要幼兒及有需要照顧長者訂立零等候目標等，</w:t>
      </w:r>
      <w:r w:rsidR="00234D4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本會表示歡迎。</w:t>
      </w:r>
    </w:p>
    <w:p w:rsidR="008D2DED" w:rsidRPr="00CD46AC" w:rsidRDefault="008D2DED" w:rsidP="00CD46AC">
      <w:pPr>
        <w:pStyle w:val="a3"/>
        <w:spacing w:after="0" w:line="280" w:lineRule="exact"/>
        <w:ind w:leftChars="0" w:left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34D40" w:rsidRPr="00CD46AC" w:rsidRDefault="00D417BB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本會歡迎行政長官在施政報告中表示主動回應老、大、難的問題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包括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市民置業、居住、人口老化、強積金與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長服金對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沖、公共理財哲學、樓宇老化等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  <w:r w:rsidR="00234D4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然而，作為</w:t>
      </w:r>
      <w:r w:rsidR="0098615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特首</w:t>
      </w:r>
      <w:r w:rsidR="00234D4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上任後首份施政報告，</w:t>
      </w:r>
      <w:r w:rsidR="00FE386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本會認為報告</w:t>
      </w:r>
      <w:r w:rsidR="00FE386E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</w:t>
      </w:r>
      <w:r w:rsidR="00234D40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有</w:t>
      </w:r>
      <w:r w:rsidR="009D69E6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勾</w:t>
      </w:r>
      <w:r w:rsidR="00DD2FE7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劃</w:t>
      </w:r>
      <w:r w:rsidR="00234D40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未來五年</w:t>
      </w:r>
      <w:r w:rsidR="002D5C7C" w:rsidRPr="005C1A56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行政長官的</w:t>
      </w:r>
      <w:r w:rsidR="00234D40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施政規劃藍圖，</w:t>
      </w:r>
      <w:r w:rsidR="00194A08" w:rsidRPr="005C1A56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特別是</w:t>
      </w:r>
      <w:r w:rsidR="00234D40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未有</w:t>
      </w:r>
      <w:r w:rsidR="007F0D81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就處理貧窮問題</w:t>
      </w:r>
      <w:proofErr w:type="gramStart"/>
      <w:r w:rsidR="00234D40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訂立滅貧</w:t>
      </w:r>
      <w:r w:rsidR="002A1D1C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指標</w:t>
      </w:r>
      <w:proofErr w:type="gramEnd"/>
      <w:r w:rsidR="002A1D1C" w:rsidRPr="005C1A56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；</w:t>
      </w:r>
      <w:r w:rsidR="007F0D81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在處理房屋問題方面，未有就處理公</w:t>
      </w:r>
      <w:proofErr w:type="gramStart"/>
      <w:r w:rsidR="007F0D81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屋輪候冊</w:t>
      </w:r>
      <w:proofErr w:type="gramEnd"/>
      <w:r w:rsidR="007F0D81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家庭訂立</w:t>
      </w:r>
      <w:r w:rsidR="00DD2FE7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縮短</w:t>
      </w:r>
      <w:r w:rsidR="007F0D81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輪候時間的願景</w:t>
      </w:r>
      <w:r w:rsidR="002A1D1C" w:rsidRPr="005C1A56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；甚至</w:t>
      </w:r>
      <w:r w:rsidR="00A5470D" w:rsidRPr="005C1A56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未有為</w:t>
      </w:r>
      <w:r w:rsidR="00347C73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應對人口老化及社會發展，訂立完善社會福利服務訂長遠規劃目標</w:t>
      </w:r>
      <w:r w:rsidR="00347C73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</w:t>
      </w:r>
      <w:r w:rsidR="00FB64AF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令基層及香港市民均難以從施政報告中</w:t>
      </w:r>
      <w:r w:rsidR="004506CC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掌握未來香港社會發展的願景及圖像。</w:t>
      </w:r>
    </w:p>
    <w:p w:rsidR="008D2DED" w:rsidRPr="00B03B8D" w:rsidRDefault="008D2DED" w:rsidP="00CD46A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650DE4" w:rsidRPr="00CD46AC" w:rsidRDefault="00CA2C03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經濟政策方面，施政報告提出把握</w:t>
      </w:r>
      <w:r w:rsidR="004D6BDC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「</w:t>
      </w:r>
      <w:r w:rsidR="0082443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一帶一路</w:t>
      </w:r>
      <w:r w:rsidR="004D6BDC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」</w:t>
      </w:r>
      <w:r w:rsidR="0082443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、發展</w:t>
      </w:r>
      <w:r w:rsidR="004D6BDC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「</w:t>
      </w:r>
      <w:r w:rsidR="0082443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大灣區</w:t>
      </w:r>
      <w:r w:rsidR="004D6BDC">
        <w:rPr>
          <w:rFonts w:ascii="微軟正黑體" w:eastAsia="微軟正黑體" w:hAnsi="微軟正黑體" w:cs="Times New Roman" w:hint="eastAsia"/>
          <w:sz w:val="26"/>
          <w:szCs w:val="26"/>
          <w:lang w:eastAsia="zh-TW"/>
        </w:rPr>
        <w:t>」</w:t>
      </w:r>
      <w:r w:rsidR="0082443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的機遇，</w:t>
      </w:r>
      <w:r w:rsidR="00BB4EE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以及投放更多資源</w:t>
      </w:r>
      <w:r w:rsidR="00BB4EEC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發展</w:t>
      </w:r>
      <w:r w:rsidR="00BB4EE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創新</w:t>
      </w:r>
      <w:r w:rsidR="00BB4EEC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科技</w:t>
      </w:r>
      <w:r w:rsidR="00BB4EE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產業，</w:t>
      </w:r>
      <w:r w:rsidR="0082443A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惟未有提出如何發展經濟產業以促進基層就業，更無著墨討論如何協助基層勞工透過就業向上流</w:t>
      </w:r>
      <w:r w:rsidR="00BB4EEC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動</w:t>
      </w:r>
      <w:r w:rsidR="00BB4EE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，無助解決持續多年的貧</w:t>
      </w:r>
      <w:r w:rsidR="004608B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富差距及</w:t>
      </w:r>
      <w:r w:rsidR="00DD499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在職</w:t>
      </w:r>
      <w:r w:rsidR="004608B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貧</w:t>
      </w:r>
      <w:r w:rsidR="00BB4EE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窮問題。</w:t>
      </w:r>
    </w:p>
    <w:p w:rsidR="008D2DED" w:rsidRPr="00375452" w:rsidRDefault="008D2DED" w:rsidP="00CD46A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506CC" w:rsidRPr="005C1A56" w:rsidRDefault="008C0827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房屋政策方面，施政報告建議將為公屋人士特設的「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綠表置居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計劃」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綠置居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恆常化，以增加公屋人士置業機會，</w:t>
      </w:r>
      <w:r w:rsidR="0037545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以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騰出原有公屋單位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予公屋輪候冊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家庭。</w:t>
      </w:r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現有公屋租戶</w:t>
      </w:r>
      <w:r w:rsidR="00DB5A7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交</w:t>
      </w:r>
      <w:r w:rsidR="00B0568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出</w:t>
      </w:r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單位</w:t>
      </w:r>
      <w:r w:rsidR="00DC1999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後</w:t>
      </w:r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proofErr w:type="gramStart"/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房屋署</w:t>
      </w:r>
      <w:r w:rsidR="004600EF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需</w:t>
      </w:r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收回</w:t>
      </w:r>
      <w:proofErr w:type="gramEnd"/>
      <w:r w:rsidR="004600EF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單位</w:t>
      </w:r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4600EF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其後</w:t>
      </w:r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又要翻新舊有單位、檢收及編配予新租戶，</w:t>
      </w:r>
      <w:r w:rsidR="004726E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隨</w:t>
      </w:r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時動輒半年至一年，遠較公</w:t>
      </w:r>
      <w:proofErr w:type="gramStart"/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屋輪候冊</w:t>
      </w:r>
      <w:proofErr w:type="gramEnd"/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家庭直接編配新落成公</w:t>
      </w:r>
      <w:proofErr w:type="gramStart"/>
      <w:r w:rsidR="00C245F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屋為</w:t>
      </w:r>
      <w:r w:rsidR="00E60E4E">
        <w:rPr>
          <w:rFonts w:ascii="Times New Roman" w:eastAsia="標楷體" w:hAnsi="Times New Roman" w:cs="Times New Roman"/>
          <w:sz w:val="26"/>
          <w:szCs w:val="26"/>
          <w:lang w:eastAsia="zh-TW"/>
        </w:rPr>
        <w:t>慢</w:t>
      </w:r>
      <w:proofErr w:type="gramEnd"/>
      <w:r w:rsidR="00E60E4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。</w:t>
      </w:r>
      <w:r w:rsidR="00B86F91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本會憂慮</w:t>
      </w:r>
      <w:r w:rsidR="00826077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「</w:t>
      </w:r>
      <w:proofErr w:type="gramStart"/>
      <w:r w:rsidR="00826077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綠表置居</w:t>
      </w:r>
      <w:proofErr w:type="gramEnd"/>
      <w:r w:rsidR="00826077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計劃」</w:t>
      </w:r>
      <w:r w:rsidR="005A451F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拖</w:t>
      </w:r>
      <w:proofErr w:type="gramStart"/>
      <w:r w:rsidR="005A451F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慢公屋編配輪</w:t>
      </w:r>
      <w:proofErr w:type="gramEnd"/>
      <w:r w:rsidR="005A451F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候時間，導致未能適時支援公</w:t>
      </w:r>
      <w:proofErr w:type="gramStart"/>
      <w:r w:rsidR="005A451F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屋輪候冊</w:t>
      </w:r>
      <w:proofErr w:type="gramEnd"/>
      <w:r w:rsidR="005A451F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家庭。</w:t>
      </w:r>
    </w:p>
    <w:p w:rsidR="008D2DED" w:rsidRPr="00CD46AC" w:rsidRDefault="008D2DED" w:rsidP="00CD46A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5A451F" w:rsidRPr="00CD46AC" w:rsidRDefault="002E4ADF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為應對嚴峻的房屋問題，本會歡迎當局宣佈研究讓整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幢工廈免補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地價改裝為過渡性房屋。</w:t>
      </w:r>
      <w:r w:rsidR="00BB38DB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然而，施政報告中未有訂出具體落實時間表。由於改裝工廠作居住單位涉及規劃、修訂法例、改裝、申請乃至編配程序，動輒需時三至四</w:t>
      </w:r>
      <w:r w:rsidR="001434C4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年；</w:t>
      </w:r>
      <w:r w:rsidR="00D353DE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為此，</w:t>
      </w:r>
      <w:r w:rsidR="00D353DE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本會呼籲當局應儘快落實以上</w:t>
      </w:r>
      <w:r w:rsidR="00A43131" w:rsidRPr="005C1A56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計劃，讓更多家庭受惠。</w:t>
      </w:r>
    </w:p>
    <w:p w:rsidR="008D2DED" w:rsidRPr="00CD46AC" w:rsidRDefault="008D2DED" w:rsidP="00CD46A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5B646A" w:rsidRPr="00D11D97" w:rsidRDefault="003A0E84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特區政府雖然</w:t>
      </w:r>
      <w:r w:rsidR="00467DE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提出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改善扶</w:t>
      </w:r>
      <w:r w:rsidR="00467DE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貧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項目的</w:t>
      </w:r>
      <w:r w:rsidR="00467DE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措施，惟現時不少低薪在職貧窮工種，包括</w:t>
      </w:r>
      <w:r w:rsidR="00467DE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proofErr w:type="gramStart"/>
      <w:r w:rsidR="00467DE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外判工</w:t>
      </w:r>
      <w:proofErr w:type="gramEnd"/>
      <w:r w:rsidR="00467DE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、零散工</w:t>
      </w:r>
      <w:r w:rsidR="00511B07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等，</w:t>
      </w:r>
      <w:proofErr w:type="gramStart"/>
      <w:r w:rsidR="00511B07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均屬政府外判</w:t>
      </w:r>
      <w:proofErr w:type="gramEnd"/>
      <w:r w:rsidR="00511B07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工作</w:t>
      </w:r>
      <w:r w:rsidR="000430E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0430E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例如</w:t>
      </w:r>
      <w:r w:rsidR="000430E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r w:rsidR="000430E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清潔工、保安員</w:t>
      </w:r>
      <w:r w:rsidR="000430E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511B07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proofErr w:type="gramStart"/>
      <w:r w:rsidR="00845FB6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可說是政府</w:t>
      </w:r>
      <w:proofErr w:type="gramEnd"/>
      <w:r w:rsidR="00845FB6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間接製造貧窮勞</w:t>
      </w:r>
      <w:r w:rsidR="000430E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工；</w:t>
      </w:r>
      <w:r w:rsidR="000430E9" w:rsidRPr="00D11D9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本會呼籲政府應取消將政府</w:t>
      </w:r>
      <w:proofErr w:type="gramStart"/>
      <w:r w:rsidR="000430E9" w:rsidRPr="00D11D9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工作外判</w:t>
      </w:r>
      <w:proofErr w:type="gramEnd"/>
      <w:r w:rsidR="000430E9" w:rsidRPr="00D11D9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，重設政府基層工種職位，並提供能應付</w:t>
      </w:r>
      <w:r w:rsidR="00ED07D8" w:rsidRPr="00D11D9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符合</w:t>
      </w:r>
      <w:r w:rsidR="000430E9" w:rsidRPr="00D11D9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基本生活水平的工資，減少貧窮勞動人口。</w:t>
      </w:r>
    </w:p>
    <w:p w:rsidR="008D2DED" w:rsidRPr="00CD46AC" w:rsidRDefault="008D2DED" w:rsidP="00CD46AC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D6175F" w:rsidRDefault="007C0F8E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施政報告</w:t>
      </w:r>
      <w:r w:rsidR="0036082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宣佈著力</w:t>
      </w:r>
      <w:r w:rsidR="004003DF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發</w:t>
      </w:r>
      <w:r w:rsidR="00424D0C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展</w:t>
      </w:r>
      <w:r w:rsidR="004003DF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基層醫療</w:t>
      </w:r>
      <w:r w:rsidR="00EC07F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，並以葵</w:t>
      </w:r>
      <w:proofErr w:type="gramStart"/>
      <w:r w:rsidR="00EC07F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涌</w:t>
      </w:r>
      <w:proofErr w:type="gramEnd"/>
      <w:r w:rsidR="00EC07F9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作為推行地區康健中心試點，建議值得肯定。</w:t>
      </w:r>
      <w:r w:rsidR="002E01B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然而，</w:t>
      </w:r>
      <w:r w:rsidR="00D5782C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當局應</w:t>
      </w:r>
      <w:r w:rsidR="00120C33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增加計劃試點，</w:t>
      </w:r>
      <w:r w:rsidR="007841A9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並以貧窮率較高的地區為優先試行地區，長遠而言</w:t>
      </w:r>
      <w:r w:rsidR="00C87F6D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亦</w:t>
      </w:r>
      <w:r w:rsidR="007841A9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應加快</w:t>
      </w:r>
      <w:r w:rsidR="00C87F6D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檢討計劃。</w:t>
      </w:r>
    </w:p>
    <w:p w:rsidR="00360827" w:rsidRPr="00360827" w:rsidRDefault="00360827" w:rsidP="00360827">
      <w:pPr>
        <w:spacing w:after="0"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7C0F8E" w:rsidRPr="00CD46AC" w:rsidRDefault="003B7378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施政報告提出增加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託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兒服務以釋放</w:t>
      </w:r>
      <w:r w:rsidR="00D6175F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婦女</w:t>
      </w:r>
      <w:r w:rsidR="007E7FF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勞動力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，建議在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2018/19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年度增加</w:t>
      </w:r>
      <w:r w:rsidR="00580CD8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約</w:t>
      </w:r>
      <w:r w:rsidR="00580CD8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300</w:t>
      </w:r>
      <w:r w:rsidR="00580CD8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個資助獨立幼兒中心名額，並透過關愛基金</w:t>
      </w:r>
      <w:r w:rsidR="00124B0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的</w:t>
      </w:r>
      <w:r w:rsidR="00CC1B5D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課餘託管</w:t>
      </w:r>
      <w:r w:rsidR="00124B0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收費計劃，增加</w:t>
      </w:r>
      <w:r w:rsidR="00124B0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2000</w:t>
      </w:r>
      <w:r w:rsidR="00CC1B5D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減免名額，</w:t>
      </w:r>
      <w:r w:rsidR="005B5D9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連同現有的四萬多</w:t>
      </w:r>
      <w:proofErr w:type="gramStart"/>
      <w:r w:rsidR="005B5D9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個</w:t>
      </w:r>
      <w:proofErr w:type="gramEnd"/>
      <w:r w:rsidR="00AD1606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的</w:t>
      </w:r>
      <w:proofErr w:type="gramStart"/>
      <w:r w:rsidR="005B5D9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託</w:t>
      </w:r>
      <w:proofErr w:type="gramEnd"/>
      <w:r w:rsidR="005B5D9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兒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(3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至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6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歲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AD1606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及</w:t>
      </w:r>
      <w:r w:rsidR="00196171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託管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(6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至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12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歲</w:t>
      </w:r>
      <w:r w:rsidR="008004C0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5B5D93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名額，</w:t>
      </w:r>
      <w:r w:rsidR="00124B0A"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然而，</w:t>
      </w:r>
      <w:r w:rsidR="00360827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新增</w:t>
      </w:r>
      <w:r w:rsidR="00124B0A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名額</w:t>
      </w:r>
      <w:r w:rsidR="00360827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數目甚少，</w:t>
      </w:r>
      <w:r w:rsidR="00124B0A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與本港</w:t>
      </w:r>
      <w:r w:rsidR="00216E28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十多萬</w:t>
      </w:r>
      <w:r w:rsidR="001B4ED8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貧窮</w:t>
      </w:r>
      <w:r w:rsidR="00216E28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家庭</w:t>
      </w:r>
      <w:r w:rsidR="002007B6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幼童</w:t>
      </w:r>
      <w:r w:rsidR="00216E28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而言</w:t>
      </w:r>
      <w:r w:rsidR="002007B6" w:rsidRPr="0036082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，新增供應實屬杯水車薪。</w:t>
      </w:r>
    </w:p>
    <w:p w:rsidR="007A5CBD" w:rsidRPr="00CD46AC" w:rsidRDefault="007A5CBD" w:rsidP="00CD46AC">
      <w:pPr>
        <w:pStyle w:val="a3"/>
        <w:spacing w:after="0" w:line="280" w:lineRule="exact"/>
        <w:ind w:leftChars="0" w:left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F7B0E" w:rsidRPr="00CD46AC" w:rsidRDefault="004978AA" w:rsidP="00CD46AC">
      <w:pPr>
        <w:pStyle w:val="a3"/>
        <w:numPr>
          <w:ilvl w:val="0"/>
          <w:numId w:val="1"/>
        </w:numPr>
        <w:spacing w:after="0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在教育政策方面，當局新增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50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億元的教育經常開支，除推行免費幼稚園教育、大學</w:t>
      </w:r>
      <w:proofErr w:type="gramStart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學</w:t>
      </w:r>
      <w:proofErr w:type="gramEnd"/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劵制等涉及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36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億元外，當局仍未有決議如何善用餘下的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14</w:t>
      </w:r>
      <w:r w:rsidRPr="00CD46AC">
        <w:rPr>
          <w:rFonts w:ascii="Times New Roman" w:eastAsia="標楷體" w:hAnsi="Times New Roman" w:cs="Times New Roman"/>
          <w:sz w:val="26"/>
          <w:szCs w:val="26"/>
          <w:lang w:eastAsia="zh-TW"/>
        </w:rPr>
        <w:t>億元經常性開支。</w:t>
      </w:r>
      <w:r w:rsidRPr="00D406F7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本會認為當局將餘下新增撥款，用於改善現行中小學以至專上教育的學生資助，包括資助範疇、金額及申請資格等，以強化對基層學童的支援。</w:t>
      </w:r>
    </w:p>
    <w:p w:rsidR="00BF7B0E" w:rsidRPr="00CD46AC" w:rsidRDefault="00BF7B0E" w:rsidP="00CD46AC">
      <w:pPr>
        <w:spacing w:after="0" w:line="280" w:lineRule="exact"/>
        <w:jc w:val="righ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香港社區組織協會</w:t>
      </w:r>
    </w:p>
    <w:p w:rsidR="004978AA" w:rsidRPr="00CD46AC" w:rsidRDefault="00BF7B0E" w:rsidP="00707BBF">
      <w:pPr>
        <w:spacing w:after="0" w:line="280" w:lineRule="exac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2017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年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10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月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11</w:t>
      </w:r>
      <w:r w:rsidRPr="00CD46A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日</w:t>
      </w:r>
    </w:p>
    <w:sectPr w:rsidR="004978AA" w:rsidRPr="00CD46AC" w:rsidSect="00CD46A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7F" w:rsidRDefault="00372B7F" w:rsidP="00FE386E">
      <w:pPr>
        <w:spacing w:after="0" w:line="240" w:lineRule="auto"/>
      </w:pPr>
      <w:r>
        <w:separator/>
      </w:r>
    </w:p>
  </w:endnote>
  <w:endnote w:type="continuationSeparator" w:id="0">
    <w:p w:rsidR="00372B7F" w:rsidRDefault="00372B7F" w:rsidP="00FE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7F" w:rsidRDefault="00372B7F" w:rsidP="00FE386E">
      <w:pPr>
        <w:spacing w:after="0" w:line="240" w:lineRule="auto"/>
      </w:pPr>
      <w:r>
        <w:separator/>
      </w:r>
    </w:p>
  </w:footnote>
  <w:footnote w:type="continuationSeparator" w:id="0">
    <w:p w:rsidR="00372B7F" w:rsidRDefault="00372B7F" w:rsidP="00FE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51D4"/>
    <w:multiLevelType w:val="hybridMultilevel"/>
    <w:tmpl w:val="836A05EE"/>
    <w:lvl w:ilvl="0" w:tplc="BEC66AC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B"/>
    <w:rsid w:val="00007E2B"/>
    <w:rsid w:val="000430E9"/>
    <w:rsid w:val="00070791"/>
    <w:rsid w:val="000B173B"/>
    <w:rsid w:val="000E43DF"/>
    <w:rsid w:val="000F4838"/>
    <w:rsid w:val="000F633E"/>
    <w:rsid w:val="00120C33"/>
    <w:rsid w:val="00124B0A"/>
    <w:rsid w:val="001434C4"/>
    <w:rsid w:val="0017467B"/>
    <w:rsid w:val="00182802"/>
    <w:rsid w:val="00194A08"/>
    <w:rsid w:val="00196171"/>
    <w:rsid w:val="001B4ED8"/>
    <w:rsid w:val="001B66C3"/>
    <w:rsid w:val="002007B6"/>
    <w:rsid w:val="00216E28"/>
    <w:rsid w:val="0022369D"/>
    <w:rsid w:val="00234D40"/>
    <w:rsid w:val="002843C7"/>
    <w:rsid w:val="002A0FC9"/>
    <w:rsid w:val="002A1D1C"/>
    <w:rsid w:val="002D5C7C"/>
    <w:rsid w:val="002D7252"/>
    <w:rsid w:val="002E01B0"/>
    <w:rsid w:val="002E4ADF"/>
    <w:rsid w:val="0032456F"/>
    <w:rsid w:val="00347315"/>
    <w:rsid w:val="00347C73"/>
    <w:rsid w:val="00360827"/>
    <w:rsid w:val="00372B7F"/>
    <w:rsid w:val="00375452"/>
    <w:rsid w:val="00392DB8"/>
    <w:rsid w:val="003A0E84"/>
    <w:rsid w:val="003B7378"/>
    <w:rsid w:val="003D4CFD"/>
    <w:rsid w:val="003E6FC2"/>
    <w:rsid w:val="004003DF"/>
    <w:rsid w:val="00424D0C"/>
    <w:rsid w:val="004343E9"/>
    <w:rsid w:val="00446144"/>
    <w:rsid w:val="004506CC"/>
    <w:rsid w:val="004600EF"/>
    <w:rsid w:val="004608BE"/>
    <w:rsid w:val="00467DE0"/>
    <w:rsid w:val="004726E4"/>
    <w:rsid w:val="00480B8B"/>
    <w:rsid w:val="004978AA"/>
    <w:rsid w:val="004C045B"/>
    <w:rsid w:val="004D27AB"/>
    <w:rsid w:val="004D6BDC"/>
    <w:rsid w:val="004E1F7B"/>
    <w:rsid w:val="00506D6E"/>
    <w:rsid w:val="00511B07"/>
    <w:rsid w:val="00554E9C"/>
    <w:rsid w:val="005637B8"/>
    <w:rsid w:val="00580CD8"/>
    <w:rsid w:val="00583980"/>
    <w:rsid w:val="005A451F"/>
    <w:rsid w:val="005B1347"/>
    <w:rsid w:val="005B5D93"/>
    <w:rsid w:val="005B646A"/>
    <w:rsid w:val="005C1A56"/>
    <w:rsid w:val="00620A26"/>
    <w:rsid w:val="006224A8"/>
    <w:rsid w:val="00627985"/>
    <w:rsid w:val="00636404"/>
    <w:rsid w:val="00650DE4"/>
    <w:rsid w:val="00677C0C"/>
    <w:rsid w:val="006B4C8A"/>
    <w:rsid w:val="006F18BA"/>
    <w:rsid w:val="00707BBF"/>
    <w:rsid w:val="007149C5"/>
    <w:rsid w:val="00720A3F"/>
    <w:rsid w:val="00761DB3"/>
    <w:rsid w:val="007841A9"/>
    <w:rsid w:val="007A5CBD"/>
    <w:rsid w:val="007C0F8E"/>
    <w:rsid w:val="007E7FF0"/>
    <w:rsid w:val="007F05DE"/>
    <w:rsid w:val="007F0D81"/>
    <w:rsid w:val="008004C0"/>
    <w:rsid w:val="0082443A"/>
    <w:rsid w:val="00826077"/>
    <w:rsid w:val="00837064"/>
    <w:rsid w:val="00845FB6"/>
    <w:rsid w:val="00852949"/>
    <w:rsid w:val="00852BA6"/>
    <w:rsid w:val="008C0827"/>
    <w:rsid w:val="008D2DED"/>
    <w:rsid w:val="008F55F9"/>
    <w:rsid w:val="009143BF"/>
    <w:rsid w:val="00936F1B"/>
    <w:rsid w:val="009425DC"/>
    <w:rsid w:val="0097290F"/>
    <w:rsid w:val="0098615A"/>
    <w:rsid w:val="009D69E6"/>
    <w:rsid w:val="009F50D5"/>
    <w:rsid w:val="00A118CC"/>
    <w:rsid w:val="00A3022F"/>
    <w:rsid w:val="00A43131"/>
    <w:rsid w:val="00A519A8"/>
    <w:rsid w:val="00A5470D"/>
    <w:rsid w:val="00AD1606"/>
    <w:rsid w:val="00AF4F00"/>
    <w:rsid w:val="00B0090A"/>
    <w:rsid w:val="00B03B8D"/>
    <w:rsid w:val="00B05684"/>
    <w:rsid w:val="00B36E1A"/>
    <w:rsid w:val="00B429B3"/>
    <w:rsid w:val="00B84F3B"/>
    <w:rsid w:val="00B86F91"/>
    <w:rsid w:val="00B87BAB"/>
    <w:rsid w:val="00B87E30"/>
    <w:rsid w:val="00BB38DB"/>
    <w:rsid w:val="00BB4EEC"/>
    <w:rsid w:val="00BC7CA0"/>
    <w:rsid w:val="00BF7B0E"/>
    <w:rsid w:val="00C156C4"/>
    <w:rsid w:val="00C245F3"/>
    <w:rsid w:val="00C40200"/>
    <w:rsid w:val="00C87F6D"/>
    <w:rsid w:val="00CA2C03"/>
    <w:rsid w:val="00CC1B5D"/>
    <w:rsid w:val="00CD46AC"/>
    <w:rsid w:val="00CF2A03"/>
    <w:rsid w:val="00D11D97"/>
    <w:rsid w:val="00D353DE"/>
    <w:rsid w:val="00D406F7"/>
    <w:rsid w:val="00D417BB"/>
    <w:rsid w:val="00D5782C"/>
    <w:rsid w:val="00D6175F"/>
    <w:rsid w:val="00D65E58"/>
    <w:rsid w:val="00D71BD2"/>
    <w:rsid w:val="00D827CA"/>
    <w:rsid w:val="00DB5A77"/>
    <w:rsid w:val="00DC1999"/>
    <w:rsid w:val="00DD2FE7"/>
    <w:rsid w:val="00DD499A"/>
    <w:rsid w:val="00E220BC"/>
    <w:rsid w:val="00E321CF"/>
    <w:rsid w:val="00E50CCD"/>
    <w:rsid w:val="00E6086F"/>
    <w:rsid w:val="00E60E4E"/>
    <w:rsid w:val="00EC07F9"/>
    <w:rsid w:val="00ED07D8"/>
    <w:rsid w:val="00EF767E"/>
    <w:rsid w:val="00F044C7"/>
    <w:rsid w:val="00F24668"/>
    <w:rsid w:val="00F70215"/>
    <w:rsid w:val="00FB64AF"/>
    <w:rsid w:val="00FE386E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C9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4978A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4978AA"/>
  </w:style>
  <w:style w:type="paragraph" w:styleId="a6">
    <w:name w:val="header"/>
    <w:basedOn w:val="a"/>
    <w:link w:val="a7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8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8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C9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4978A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4978AA"/>
  </w:style>
  <w:style w:type="paragraph" w:styleId="a6">
    <w:name w:val="header"/>
    <w:basedOn w:val="a"/>
    <w:link w:val="a7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8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178</cp:revision>
  <cp:lastPrinted>2017-10-11T07:45:00Z</cp:lastPrinted>
  <dcterms:created xsi:type="dcterms:W3CDTF">2017-10-11T06:21:00Z</dcterms:created>
  <dcterms:modified xsi:type="dcterms:W3CDTF">2017-10-11T08:53:00Z</dcterms:modified>
</cp:coreProperties>
</file>