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AF" w:rsidRPr="006467AF" w:rsidRDefault="003152CC" w:rsidP="00C05276">
      <w:pPr>
        <w:spacing w:line="440" w:lineRule="exact"/>
        <w:jc w:val="center"/>
        <w:rPr>
          <w:rFonts w:ascii="標楷體" w:eastAsia="標楷體" w:hAnsi="標楷體"/>
          <w:b/>
          <w:sz w:val="48"/>
          <w:szCs w:val="48"/>
          <w:lang w:eastAsia="zh-TW"/>
        </w:rPr>
      </w:pPr>
      <w:bookmarkStart w:id="0" w:name="_GoBack"/>
      <w:bookmarkEnd w:id="0"/>
      <w:r>
        <w:rPr>
          <w:rFonts w:ascii="標楷體" w:eastAsia="標楷體" w:hAnsi="標楷體" w:hint="eastAsia"/>
          <w:b/>
          <w:sz w:val="48"/>
          <w:szCs w:val="48"/>
          <w:lang w:eastAsia="zh-TW"/>
        </w:rPr>
        <w:t>香港</w:t>
      </w:r>
      <w:r w:rsidR="00C070F5" w:rsidRPr="006467AF">
        <w:rPr>
          <w:rFonts w:ascii="標楷體" w:eastAsia="標楷體" w:hAnsi="標楷體" w:hint="eastAsia"/>
          <w:b/>
          <w:sz w:val="48"/>
          <w:szCs w:val="48"/>
          <w:lang w:eastAsia="zh-TW"/>
        </w:rPr>
        <w:t>社區組織協會</w:t>
      </w:r>
      <w:r>
        <w:rPr>
          <w:rFonts w:ascii="標楷體" w:eastAsia="標楷體" w:hAnsi="標楷體" w:hint="eastAsia"/>
          <w:b/>
          <w:sz w:val="48"/>
          <w:szCs w:val="48"/>
          <w:lang w:eastAsia="zh-TW"/>
        </w:rPr>
        <w:t>會見</w:t>
      </w:r>
      <w:r w:rsidR="00D6760A" w:rsidRPr="006467AF">
        <w:rPr>
          <w:rFonts w:ascii="標楷體" w:eastAsia="標楷體" w:hAnsi="標楷體" w:hint="eastAsia"/>
          <w:b/>
          <w:sz w:val="48"/>
          <w:szCs w:val="48"/>
          <w:lang w:eastAsia="zh-TW"/>
        </w:rPr>
        <w:t>平機會主席</w:t>
      </w:r>
    </w:p>
    <w:p w:rsidR="00C070F5" w:rsidRPr="006467AF" w:rsidRDefault="00C070F5" w:rsidP="00C05276">
      <w:pPr>
        <w:spacing w:line="440" w:lineRule="exact"/>
        <w:jc w:val="center"/>
        <w:rPr>
          <w:rFonts w:ascii="標楷體" w:eastAsia="標楷體" w:hAnsi="標楷體"/>
          <w:b/>
          <w:sz w:val="48"/>
          <w:szCs w:val="48"/>
          <w:lang w:eastAsia="zh-TW"/>
        </w:rPr>
      </w:pPr>
      <w:r w:rsidRPr="006467AF">
        <w:rPr>
          <w:rFonts w:ascii="標楷體" w:eastAsia="標楷體" w:hAnsi="標楷體" w:hint="eastAsia"/>
          <w:b/>
          <w:sz w:val="48"/>
          <w:szCs w:val="48"/>
          <w:lang w:eastAsia="zh-TW"/>
        </w:rPr>
        <w:t>要求</w:t>
      </w:r>
      <w:r w:rsidR="00D6760A" w:rsidRPr="006467AF">
        <w:rPr>
          <w:rFonts w:ascii="標楷體" w:eastAsia="標楷體" w:hAnsi="標楷體" w:hint="eastAsia"/>
          <w:b/>
          <w:sz w:val="48"/>
          <w:szCs w:val="48"/>
          <w:lang w:eastAsia="zh-TW"/>
        </w:rPr>
        <w:t>加強反歧視立法</w:t>
      </w:r>
    </w:p>
    <w:p w:rsidR="00C070F5" w:rsidRDefault="00C070F5" w:rsidP="00C070F5">
      <w:pPr>
        <w:jc w:val="both"/>
        <w:rPr>
          <w:rFonts w:eastAsia="新細明體"/>
          <w:sz w:val="24"/>
          <w:szCs w:val="24"/>
          <w:lang w:eastAsia="zh-TW"/>
        </w:rPr>
      </w:pPr>
    </w:p>
    <w:p w:rsidR="006467AF" w:rsidRDefault="00C070F5" w:rsidP="00C070F5">
      <w:pPr>
        <w:jc w:val="both"/>
        <w:rPr>
          <w:rFonts w:eastAsia="新細明體"/>
          <w:sz w:val="24"/>
          <w:szCs w:val="24"/>
          <w:lang w:eastAsia="zh-TW"/>
        </w:rPr>
      </w:pPr>
      <w:r w:rsidRPr="00BD3868">
        <w:rPr>
          <w:rFonts w:eastAsia="新細明體" w:hint="eastAsia"/>
          <w:sz w:val="24"/>
          <w:szCs w:val="24"/>
          <w:lang w:eastAsia="zh-TW"/>
        </w:rPr>
        <w:tab/>
      </w:r>
      <w:r w:rsidR="00D6760A">
        <w:rPr>
          <w:rFonts w:eastAsia="新細明體" w:hint="eastAsia"/>
          <w:sz w:val="24"/>
          <w:szCs w:val="24"/>
          <w:lang w:eastAsia="zh-TW"/>
        </w:rPr>
        <w:t>香港社區組織協會（社協）多名社區組織幹事於</w:t>
      </w:r>
      <w:r w:rsidR="006467AF">
        <w:rPr>
          <w:rFonts w:eastAsia="新細明體" w:hint="eastAsia"/>
          <w:sz w:val="24"/>
          <w:szCs w:val="24"/>
          <w:lang w:eastAsia="zh-TW"/>
        </w:rPr>
        <w:t>本年</w:t>
      </w:r>
      <w:r w:rsidR="00D6760A">
        <w:rPr>
          <w:rFonts w:eastAsia="新細明體" w:hint="eastAsia"/>
          <w:sz w:val="24"/>
          <w:szCs w:val="24"/>
          <w:lang w:eastAsia="zh-TW"/>
        </w:rPr>
        <w:t>6</w:t>
      </w:r>
      <w:r w:rsidR="00D6760A">
        <w:rPr>
          <w:rFonts w:eastAsia="新細明體" w:hint="eastAsia"/>
          <w:sz w:val="24"/>
          <w:szCs w:val="24"/>
          <w:lang w:eastAsia="zh-TW"/>
        </w:rPr>
        <w:t>月</w:t>
      </w:r>
      <w:r w:rsidR="00D6760A">
        <w:rPr>
          <w:rFonts w:eastAsia="新細明體" w:hint="eastAsia"/>
          <w:sz w:val="24"/>
          <w:szCs w:val="24"/>
          <w:lang w:eastAsia="zh-TW"/>
        </w:rPr>
        <w:t>13</w:t>
      </w:r>
      <w:r w:rsidR="00D6760A">
        <w:rPr>
          <w:rFonts w:eastAsia="新細明體" w:hint="eastAsia"/>
          <w:sz w:val="24"/>
          <w:szCs w:val="24"/>
          <w:lang w:eastAsia="zh-TW"/>
        </w:rPr>
        <w:t>日上午到訪平等機會委員會（平機會），</w:t>
      </w:r>
      <w:r w:rsidR="003152CC">
        <w:rPr>
          <w:rFonts w:eastAsia="新細明體" w:hint="eastAsia"/>
          <w:sz w:val="24"/>
          <w:szCs w:val="24"/>
          <w:lang w:eastAsia="zh-TW"/>
        </w:rPr>
        <w:t>會見</w:t>
      </w:r>
      <w:r w:rsidR="00D6760A">
        <w:rPr>
          <w:rFonts w:eastAsia="新細明體" w:hint="eastAsia"/>
          <w:sz w:val="24"/>
          <w:szCs w:val="24"/>
          <w:lang w:eastAsia="zh-TW"/>
        </w:rPr>
        <w:t>平機會主席陳章明教授</w:t>
      </w:r>
      <w:r w:rsidR="003152CC">
        <w:rPr>
          <w:rFonts w:eastAsia="新細明體" w:hint="eastAsia"/>
          <w:sz w:val="24"/>
          <w:szCs w:val="24"/>
          <w:lang w:eastAsia="zh-TW"/>
        </w:rPr>
        <w:t>及幾位總監</w:t>
      </w:r>
      <w:r w:rsidR="00D6760A">
        <w:rPr>
          <w:rFonts w:eastAsia="新細明體" w:hint="eastAsia"/>
          <w:sz w:val="24"/>
          <w:szCs w:val="24"/>
          <w:lang w:eastAsia="zh-TW"/>
        </w:rPr>
        <w:t>，討論加強反歧視立法的方向</w:t>
      </w:r>
      <w:r w:rsidR="006467AF">
        <w:rPr>
          <w:rFonts w:eastAsia="新細明體" w:hint="eastAsia"/>
          <w:sz w:val="24"/>
          <w:szCs w:val="24"/>
          <w:lang w:eastAsia="zh-TW"/>
        </w:rPr>
        <w:t>。</w:t>
      </w:r>
    </w:p>
    <w:p w:rsidR="006467AF" w:rsidRPr="003152CC" w:rsidRDefault="006467AF" w:rsidP="00C070F5">
      <w:pPr>
        <w:jc w:val="both"/>
        <w:rPr>
          <w:rFonts w:eastAsia="新細明體"/>
          <w:sz w:val="24"/>
          <w:szCs w:val="24"/>
          <w:lang w:eastAsia="zh-TW"/>
        </w:rPr>
      </w:pPr>
    </w:p>
    <w:p w:rsidR="006467AF" w:rsidRDefault="006467AF" w:rsidP="00C070F5">
      <w:pPr>
        <w:jc w:val="both"/>
        <w:rPr>
          <w:rFonts w:eastAsia="新細明體"/>
          <w:sz w:val="24"/>
          <w:szCs w:val="24"/>
          <w:lang w:eastAsia="zh-TW"/>
        </w:rPr>
      </w:pPr>
      <w:r>
        <w:rPr>
          <w:rFonts w:eastAsia="新細明體" w:hint="eastAsia"/>
          <w:sz w:val="24"/>
          <w:szCs w:val="24"/>
          <w:lang w:eastAsia="zh-TW"/>
        </w:rPr>
        <w:tab/>
      </w:r>
      <w:r>
        <w:rPr>
          <w:rFonts w:eastAsia="新細明體" w:hint="eastAsia"/>
          <w:sz w:val="24"/>
          <w:szCs w:val="24"/>
          <w:lang w:eastAsia="zh-TW"/>
        </w:rPr>
        <w:t>作為關注本港弱勢及邊緣社群權益的民權組織，</w:t>
      </w:r>
      <w:proofErr w:type="gramStart"/>
      <w:r>
        <w:rPr>
          <w:rFonts w:eastAsia="新細明體" w:hint="eastAsia"/>
          <w:sz w:val="24"/>
          <w:szCs w:val="24"/>
          <w:lang w:eastAsia="zh-TW"/>
        </w:rPr>
        <w:t>社協多年</w:t>
      </w:r>
      <w:proofErr w:type="gramEnd"/>
      <w:r>
        <w:rPr>
          <w:rFonts w:eastAsia="新細明體" w:hint="eastAsia"/>
          <w:sz w:val="24"/>
          <w:szCs w:val="24"/>
          <w:lang w:eastAsia="zh-TW"/>
        </w:rPr>
        <w:t>來一直</w:t>
      </w:r>
      <w:r w:rsidR="009D316E">
        <w:rPr>
          <w:rFonts w:eastAsia="新細明體" w:hint="eastAsia"/>
          <w:sz w:val="24"/>
          <w:szCs w:val="24"/>
          <w:lang w:eastAsia="zh-TW"/>
        </w:rPr>
        <w:t>致力爭取</w:t>
      </w:r>
      <w:r>
        <w:rPr>
          <w:rFonts w:eastAsia="新細明體" w:hint="eastAsia"/>
          <w:sz w:val="24"/>
          <w:szCs w:val="24"/>
          <w:lang w:eastAsia="zh-TW"/>
        </w:rPr>
        <w:t>本港制訂一項涵蓋各</w:t>
      </w:r>
      <w:r w:rsidR="009D316E">
        <w:rPr>
          <w:rFonts w:eastAsia="新細明體" w:hint="eastAsia"/>
          <w:sz w:val="24"/>
          <w:szCs w:val="24"/>
          <w:lang w:eastAsia="zh-TW"/>
        </w:rPr>
        <w:t>反</w:t>
      </w:r>
      <w:r>
        <w:rPr>
          <w:rFonts w:eastAsia="新細明體" w:hint="eastAsia"/>
          <w:sz w:val="24"/>
          <w:szCs w:val="24"/>
          <w:lang w:eastAsia="zh-TW"/>
        </w:rPr>
        <w:t>歧視範</w:t>
      </w:r>
      <w:r w:rsidR="009D316E">
        <w:rPr>
          <w:rFonts w:eastAsia="新細明體" w:hint="eastAsia"/>
          <w:sz w:val="24"/>
          <w:szCs w:val="24"/>
          <w:lang w:eastAsia="zh-TW"/>
        </w:rPr>
        <w:t>疇</w:t>
      </w:r>
      <w:r>
        <w:rPr>
          <w:rFonts w:eastAsia="新細明體" w:hint="eastAsia"/>
          <w:sz w:val="24"/>
          <w:szCs w:val="24"/>
          <w:lang w:eastAsia="zh-TW"/>
        </w:rPr>
        <w:t>的綜合性平等機會立法，一如前立法局議員胡紅玉曾提出的私人法案《平等機會條例草案》（胡紅玉女士其後曾一度出任平機會主席）</w:t>
      </w:r>
      <w:r w:rsidR="007B51E4">
        <w:rPr>
          <w:rFonts w:eastAsia="新細明體" w:hint="eastAsia"/>
          <w:sz w:val="24"/>
          <w:szCs w:val="24"/>
          <w:lang w:eastAsia="zh-TW"/>
        </w:rPr>
        <w:t>。事實上，本港現時雖然已訂立了四項反歧視立法（包括涉及性別歧視、殘疾歧視、家庭崗位歧視及種族歧視），但一則現有條例當中的保障仍有不足（例如《種族歧視條例》仍</w:t>
      </w:r>
      <w:proofErr w:type="gramStart"/>
      <w:r w:rsidR="007B51E4">
        <w:rPr>
          <w:rFonts w:eastAsia="新細明體" w:hint="eastAsia"/>
          <w:sz w:val="24"/>
          <w:szCs w:val="24"/>
          <w:lang w:eastAsia="zh-TW"/>
        </w:rPr>
        <w:t>不</w:t>
      </w:r>
      <w:proofErr w:type="gramEnd"/>
      <w:r w:rsidR="007B51E4">
        <w:rPr>
          <w:rFonts w:eastAsia="新細明體" w:hint="eastAsia"/>
          <w:sz w:val="24"/>
          <w:szCs w:val="24"/>
          <w:lang w:eastAsia="zh-TW"/>
        </w:rPr>
        <w:t>涵蓋涉及內地來港定居的新移民所遭到的歧視），同時不少其他同樣遭到歧視問題的範疇仍沒有立法予以</w:t>
      </w:r>
      <w:proofErr w:type="gramStart"/>
      <w:r w:rsidR="007B51E4">
        <w:rPr>
          <w:rFonts w:eastAsia="新細明體" w:hint="eastAsia"/>
          <w:sz w:val="24"/>
          <w:szCs w:val="24"/>
          <w:lang w:eastAsia="zh-TW"/>
        </w:rPr>
        <w:t>規</w:t>
      </w:r>
      <w:proofErr w:type="gramEnd"/>
      <w:r w:rsidR="007B51E4">
        <w:rPr>
          <w:rFonts w:eastAsia="新細明體" w:hint="eastAsia"/>
          <w:sz w:val="24"/>
          <w:szCs w:val="24"/>
          <w:lang w:eastAsia="zh-TW"/>
        </w:rPr>
        <w:t>管。</w:t>
      </w:r>
    </w:p>
    <w:p w:rsidR="007B51E4" w:rsidRDefault="007B51E4" w:rsidP="00C070F5">
      <w:pPr>
        <w:jc w:val="both"/>
        <w:rPr>
          <w:rFonts w:eastAsia="新細明體"/>
          <w:sz w:val="24"/>
          <w:szCs w:val="24"/>
          <w:lang w:eastAsia="zh-TW"/>
        </w:rPr>
      </w:pPr>
    </w:p>
    <w:p w:rsidR="00D6760A" w:rsidRDefault="00D6760A" w:rsidP="007B51E4">
      <w:pPr>
        <w:ind w:firstLine="720"/>
        <w:jc w:val="both"/>
        <w:rPr>
          <w:rFonts w:eastAsia="新細明體"/>
          <w:sz w:val="24"/>
          <w:szCs w:val="24"/>
          <w:lang w:eastAsia="zh-TW"/>
        </w:rPr>
      </w:pPr>
      <w:proofErr w:type="gramStart"/>
      <w:r>
        <w:rPr>
          <w:rFonts w:eastAsia="新細明體" w:hint="eastAsia"/>
          <w:sz w:val="24"/>
          <w:szCs w:val="24"/>
          <w:lang w:eastAsia="zh-TW"/>
        </w:rPr>
        <w:t>社協</w:t>
      </w:r>
      <w:r w:rsidR="007B51E4">
        <w:rPr>
          <w:rFonts w:eastAsia="新細明體" w:hint="eastAsia"/>
          <w:sz w:val="24"/>
          <w:szCs w:val="24"/>
          <w:lang w:eastAsia="zh-TW"/>
        </w:rPr>
        <w:t>認為</w:t>
      </w:r>
      <w:proofErr w:type="gramEnd"/>
      <w:r w:rsidR="007B51E4">
        <w:rPr>
          <w:rFonts w:eastAsia="新細明體" w:hint="eastAsia"/>
          <w:sz w:val="24"/>
          <w:szCs w:val="24"/>
          <w:lang w:eastAsia="zh-TW"/>
        </w:rPr>
        <w:t>，平機會有必要加強工作，促進政府盡快作出立法改善，尤其應重點推進</w:t>
      </w:r>
      <w:r>
        <w:rPr>
          <w:rFonts w:eastAsia="新細明體" w:hint="eastAsia"/>
          <w:sz w:val="24"/>
          <w:szCs w:val="24"/>
          <w:lang w:eastAsia="zh-TW"/>
        </w:rPr>
        <w:t>以下</w:t>
      </w:r>
      <w:proofErr w:type="gramStart"/>
      <w:r>
        <w:rPr>
          <w:rFonts w:eastAsia="新細明體" w:hint="eastAsia"/>
          <w:sz w:val="24"/>
          <w:szCs w:val="24"/>
          <w:lang w:eastAsia="zh-TW"/>
        </w:rPr>
        <w:t>三</w:t>
      </w:r>
      <w:proofErr w:type="gramEnd"/>
      <w:r>
        <w:rPr>
          <w:rFonts w:eastAsia="新細明體" w:hint="eastAsia"/>
          <w:sz w:val="24"/>
          <w:szCs w:val="24"/>
          <w:lang w:eastAsia="zh-TW"/>
        </w:rPr>
        <w:t>方面立法建議：</w:t>
      </w:r>
    </w:p>
    <w:p w:rsidR="00D6760A" w:rsidRDefault="009D316E" w:rsidP="00D6760A">
      <w:pPr>
        <w:pStyle w:val="a5"/>
        <w:numPr>
          <w:ilvl w:val="0"/>
          <w:numId w:val="1"/>
        </w:numPr>
        <w:ind w:leftChars="0"/>
        <w:jc w:val="both"/>
        <w:rPr>
          <w:rFonts w:eastAsia="新細明體"/>
          <w:sz w:val="24"/>
          <w:szCs w:val="24"/>
          <w:lang w:eastAsia="zh-TW"/>
        </w:rPr>
      </w:pPr>
      <w:r>
        <w:rPr>
          <w:rFonts w:eastAsia="新細明體" w:hint="eastAsia"/>
          <w:sz w:val="24"/>
          <w:szCs w:val="24"/>
          <w:lang w:eastAsia="zh-TW"/>
        </w:rPr>
        <w:t>立即修訂《種族歧視條例》，首要</w:t>
      </w:r>
      <w:r w:rsidR="00D6760A">
        <w:rPr>
          <w:rFonts w:eastAsia="新細明體" w:hint="eastAsia"/>
          <w:sz w:val="24"/>
          <w:szCs w:val="24"/>
          <w:lang w:eastAsia="zh-TW"/>
        </w:rPr>
        <w:t>加入立法保障內地來港新移民免受各種形式的歧視；</w:t>
      </w:r>
    </w:p>
    <w:p w:rsidR="00D6760A" w:rsidRDefault="00D6760A" w:rsidP="00D6760A">
      <w:pPr>
        <w:pStyle w:val="a5"/>
        <w:numPr>
          <w:ilvl w:val="0"/>
          <w:numId w:val="1"/>
        </w:numPr>
        <w:ind w:leftChars="0"/>
        <w:jc w:val="both"/>
        <w:rPr>
          <w:rFonts w:eastAsia="新細明體"/>
          <w:sz w:val="24"/>
          <w:szCs w:val="24"/>
          <w:lang w:eastAsia="zh-TW"/>
        </w:rPr>
      </w:pPr>
      <w:r>
        <w:rPr>
          <w:rFonts w:eastAsia="新細明體" w:hint="eastAsia"/>
          <w:sz w:val="24"/>
          <w:szCs w:val="24"/>
          <w:lang w:eastAsia="zh-TW"/>
        </w:rPr>
        <w:t>立法禁止年齡歧視；及</w:t>
      </w:r>
    </w:p>
    <w:p w:rsidR="00D6760A" w:rsidRPr="00D6760A" w:rsidRDefault="00D6760A" w:rsidP="00D6760A">
      <w:pPr>
        <w:pStyle w:val="a5"/>
        <w:numPr>
          <w:ilvl w:val="0"/>
          <w:numId w:val="1"/>
        </w:numPr>
        <w:ind w:leftChars="0"/>
        <w:jc w:val="both"/>
        <w:rPr>
          <w:rFonts w:eastAsia="新細明體"/>
          <w:sz w:val="24"/>
          <w:szCs w:val="24"/>
          <w:lang w:eastAsia="zh-TW"/>
        </w:rPr>
      </w:pPr>
      <w:r>
        <w:rPr>
          <w:rFonts w:eastAsia="新細明體" w:hint="eastAsia"/>
          <w:sz w:val="24"/>
          <w:szCs w:val="24"/>
          <w:lang w:eastAsia="zh-TW"/>
        </w:rPr>
        <w:t>立法禁止對更生人士就業的歧視。</w:t>
      </w:r>
    </w:p>
    <w:p w:rsidR="006467AF" w:rsidRDefault="006467AF" w:rsidP="00C070F5">
      <w:pPr>
        <w:jc w:val="both"/>
        <w:rPr>
          <w:rFonts w:eastAsia="新細明體"/>
          <w:sz w:val="24"/>
          <w:szCs w:val="24"/>
          <w:lang w:eastAsia="zh-TW"/>
        </w:rPr>
      </w:pPr>
    </w:p>
    <w:p w:rsidR="003152CC" w:rsidRPr="00054F0B" w:rsidRDefault="003152CC" w:rsidP="00646926">
      <w:pPr>
        <w:jc w:val="both"/>
        <w:rPr>
          <w:rFonts w:eastAsia="新細明體"/>
          <w:b/>
          <w:sz w:val="24"/>
          <w:szCs w:val="24"/>
          <w:lang w:eastAsia="zh-TW"/>
        </w:rPr>
      </w:pPr>
      <w:r w:rsidRPr="00054F0B">
        <w:rPr>
          <w:rFonts w:eastAsia="新細明體" w:hint="eastAsia"/>
          <w:b/>
          <w:sz w:val="24"/>
          <w:szCs w:val="24"/>
          <w:lang w:eastAsia="zh-TW"/>
        </w:rPr>
        <w:t>平機會的回應</w:t>
      </w:r>
      <w:r w:rsidRPr="00054F0B">
        <w:rPr>
          <w:rFonts w:eastAsia="新細明體" w:hint="eastAsia"/>
          <w:b/>
          <w:sz w:val="24"/>
          <w:szCs w:val="24"/>
          <w:lang w:eastAsia="zh-TW"/>
        </w:rPr>
        <w:t xml:space="preserve">: </w:t>
      </w:r>
      <w:r>
        <w:rPr>
          <w:rFonts w:eastAsia="新細明體" w:hint="eastAsia"/>
          <w:sz w:val="24"/>
          <w:szCs w:val="24"/>
          <w:lang w:eastAsia="zh-TW"/>
        </w:rPr>
        <w:t>平</w:t>
      </w:r>
      <w:r w:rsidRPr="00054F0B">
        <w:rPr>
          <w:rFonts w:eastAsia="新細明體" w:hint="eastAsia"/>
          <w:b/>
          <w:sz w:val="24"/>
          <w:szCs w:val="24"/>
          <w:lang w:eastAsia="zh-TW"/>
        </w:rPr>
        <w:t>機會同意本會倡議的工作，</w:t>
      </w:r>
      <w:r w:rsidR="00A757A1" w:rsidRPr="00054F0B">
        <w:rPr>
          <w:rFonts w:eastAsia="新細明體" w:hint="eastAsia"/>
          <w:b/>
          <w:sz w:val="24"/>
          <w:szCs w:val="24"/>
          <w:lang w:eastAsia="zh-TW"/>
        </w:rPr>
        <w:t>明白現時法例有急需制定法例保障內地新來港人士、受年齡歧視的人士及更生人士等，他們亦希望政府</w:t>
      </w:r>
      <w:r w:rsidR="008D1C7C" w:rsidRPr="00054F0B">
        <w:rPr>
          <w:rFonts w:eastAsia="新細明體" w:hint="eastAsia"/>
          <w:b/>
          <w:sz w:val="24"/>
          <w:szCs w:val="24"/>
          <w:lang w:eastAsia="zh-TW"/>
        </w:rPr>
        <w:t>對他們的報告作</w:t>
      </w:r>
      <w:r w:rsidR="00A757A1" w:rsidRPr="00054F0B">
        <w:rPr>
          <w:rFonts w:eastAsia="新細明體" w:hint="eastAsia"/>
          <w:b/>
          <w:sz w:val="24"/>
          <w:szCs w:val="24"/>
          <w:lang w:eastAsia="zh-TW"/>
        </w:rPr>
        <w:t>出跟進，但</w:t>
      </w:r>
      <w:r w:rsidR="002A6D3A" w:rsidRPr="00054F0B">
        <w:rPr>
          <w:rFonts w:eastAsia="新細明體" w:hint="eastAsia"/>
          <w:b/>
          <w:sz w:val="24"/>
          <w:szCs w:val="24"/>
          <w:lang w:eastAsia="zh-TW"/>
        </w:rPr>
        <w:t>政府跟進很少，而</w:t>
      </w:r>
      <w:r w:rsidR="00A757A1" w:rsidRPr="00054F0B">
        <w:rPr>
          <w:rFonts w:eastAsia="新細明體" w:hint="eastAsia"/>
          <w:b/>
          <w:sz w:val="24"/>
          <w:szCs w:val="24"/>
          <w:lang w:eastAsia="zh-TW"/>
        </w:rPr>
        <w:t>他們一直未有機會與政制及內地事務</w:t>
      </w:r>
      <w:proofErr w:type="gramStart"/>
      <w:r w:rsidR="00A757A1" w:rsidRPr="00054F0B">
        <w:rPr>
          <w:rFonts w:eastAsia="新細明體" w:hint="eastAsia"/>
          <w:b/>
          <w:sz w:val="24"/>
          <w:szCs w:val="24"/>
          <w:lang w:eastAsia="zh-TW"/>
        </w:rPr>
        <w:t>局</w:t>
      </w:r>
      <w:proofErr w:type="gramEnd"/>
      <w:r w:rsidR="00A757A1" w:rsidRPr="00054F0B">
        <w:rPr>
          <w:rFonts w:eastAsia="新細明體" w:hint="eastAsia"/>
          <w:b/>
          <w:sz w:val="24"/>
          <w:szCs w:val="24"/>
          <w:lang w:eastAsia="zh-TW"/>
        </w:rPr>
        <w:t>局長譚志源會見</w:t>
      </w:r>
      <w:r w:rsidR="002A6D3A" w:rsidRPr="00054F0B">
        <w:rPr>
          <w:rFonts w:eastAsia="新細明體" w:hint="eastAsia"/>
          <w:b/>
          <w:sz w:val="24"/>
          <w:szCs w:val="24"/>
          <w:lang w:eastAsia="zh-TW"/>
        </w:rPr>
        <w:t>討論</w:t>
      </w:r>
      <w:r w:rsidR="00A757A1" w:rsidRPr="00054F0B">
        <w:rPr>
          <w:rFonts w:eastAsia="新細明體" w:hint="eastAsia"/>
          <w:b/>
          <w:sz w:val="24"/>
          <w:szCs w:val="24"/>
          <w:lang w:eastAsia="zh-TW"/>
        </w:rPr>
        <w:t>，而政府亦限制他們</w:t>
      </w:r>
      <w:r w:rsidR="008D1C7C" w:rsidRPr="00054F0B">
        <w:rPr>
          <w:rFonts w:eastAsia="新細明體" w:hint="eastAsia"/>
          <w:b/>
          <w:sz w:val="24"/>
          <w:szCs w:val="24"/>
          <w:lang w:eastAsia="zh-TW"/>
        </w:rPr>
        <w:t>在四條法例以外的工作。</w:t>
      </w:r>
      <w:r w:rsidR="002A6D3A" w:rsidRPr="00054F0B">
        <w:rPr>
          <w:rFonts w:eastAsia="新細明體" w:hint="eastAsia"/>
          <w:b/>
          <w:sz w:val="24"/>
          <w:szCs w:val="24"/>
          <w:lang w:eastAsia="zh-TW"/>
        </w:rPr>
        <w:t>平機會亦同意</w:t>
      </w:r>
      <w:r w:rsidR="004D70DF" w:rsidRPr="00054F0B">
        <w:rPr>
          <w:rFonts w:eastAsia="新細明體" w:hint="eastAsia"/>
          <w:b/>
          <w:sz w:val="24"/>
          <w:szCs w:val="24"/>
          <w:lang w:eastAsia="zh-TW"/>
        </w:rPr>
        <w:t>要加強社區教育，社會大眾仍對反歧視法不太了解，例如</w:t>
      </w:r>
      <w:r w:rsidR="004D70DF" w:rsidRPr="00054F0B">
        <w:rPr>
          <w:rFonts w:eastAsia="新細明體" w:hint="eastAsia"/>
          <w:b/>
          <w:sz w:val="24"/>
          <w:szCs w:val="24"/>
          <w:lang w:eastAsia="zh-TW"/>
        </w:rPr>
        <w:t>:</w:t>
      </w:r>
      <w:r w:rsidR="004D70DF" w:rsidRPr="00054F0B">
        <w:rPr>
          <w:rFonts w:eastAsia="新細明體" w:hint="eastAsia"/>
          <w:b/>
          <w:sz w:val="24"/>
          <w:szCs w:val="24"/>
          <w:lang w:eastAsia="zh-TW"/>
        </w:rPr>
        <w:t>如立法居民、出生來源地等身份，不但保障新移民，同時保障港人，但有些</w:t>
      </w:r>
      <w:r w:rsidR="00B45FC0" w:rsidRPr="00054F0B">
        <w:rPr>
          <w:rFonts w:eastAsia="新細明體" w:hint="eastAsia"/>
          <w:b/>
          <w:sz w:val="24"/>
          <w:szCs w:val="24"/>
          <w:lang w:eastAsia="zh-TW"/>
        </w:rPr>
        <w:t>市民</w:t>
      </w:r>
      <w:r w:rsidR="004D70DF" w:rsidRPr="00054F0B">
        <w:rPr>
          <w:rFonts w:eastAsia="新細明體" w:hint="eastAsia"/>
          <w:b/>
          <w:sz w:val="24"/>
          <w:szCs w:val="24"/>
          <w:lang w:eastAsia="zh-TW"/>
        </w:rPr>
        <w:t>以為</w:t>
      </w:r>
      <w:r w:rsidR="00B45FC0" w:rsidRPr="00054F0B">
        <w:rPr>
          <w:rFonts w:eastAsia="新細明體" w:hint="eastAsia"/>
          <w:b/>
          <w:sz w:val="24"/>
          <w:szCs w:val="24"/>
          <w:lang w:eastAsia="zh-TW"/>
        </w:rPr>
        <w:t>只保障新移民。</w:t>
      </w:r>
    </w:p>
    <w:p w:rsidR="00B45FC0" w:rsidRPr="00054F0B" w:rsidRDefault="00B45FC0" w:rsidP="00C070F5">
      <w:pPr>
        <w:jc w:val="both"/>
        <w:rPr>
          <w:rFonts w:eastAsia="新細明體"/>
          <w:b/>
          <w:sz w:val="24"/>
          <w:szCs w:val="24"/>
          <w:lang w:eastAsia="zh-TW"/>
        </w:rPr>
      </w:pPr>
    </w:p>
    <w:p w:rsidR="00B45FC0" w:rsidRPr="00054F0B" w:rsidRDefault="00B45FC0" w:rsidP="00C070F5">
      <w:pPr>
        <w:jc w:val="both"/>
        <w:rPr>
          <w:rFonts w:eastAsia="新細明體"/>
          <w:b/>
          <w:sz w:val="24"/>
          <w:szCs w:val="24"/>
          <w:lang w:eastAsia="zh-TW"/>
        </w:rPr>
      </w:pPr>
      <w:r w:rsidRPr="00054F0B">
        <w:rPr>
          <w:rFonts w:eastAsia="新細明體" w:hint="eastAsia"/>
          <w:b/>
          <w:sz w:val="24"/>
          <w:szCs w:val="24"/>
          <w:lang w:eastAsia="zh-TW"/>
        </w:rPr>
        <w:t>本會回應</w:t>
      </w:r>
      <w:r w:rsidRPr="00054F0B">
        <w:rPr>
          <w:rFonts w:eastAsia="新細明體" w:hint="eastAsia"/>
          <w:b/>
          <w:sz w:val="24"/>
          <w:szCs w:val="24"/>
          <w:lang w:eastAsia="zh-TW"/>
        </w:rPr>
        <w:t xml:space="preserve">: </w:t>
      </w:r>
      <w:r w:rsidRPr="00054F0B">
        <w:rPr>
          <w:rFonts w:eastAsia="新細明體" w:hint="eastAsia"/>
          <w:b/>
          <w:sz w:val="24"/>
          <w:szCs w:val="24"/>
          <w:lang w:eastAsia="zh-TW"/>
        </w:rPr>
        <w:t>歡迎平機會接納本會對修改反歧視法、年齡歧視、更生人士歧視立法及教育的建議，並敦請政府亦加速跟進平機會的報告建議，作出立法，</w:t>
      </w:r>
      <w:r w:rsidR="00054F0B" w:rsidRPr="00054F0B">
        <w:rPr>
          <w:rFonts w:eastAsia="新細明體" w:hint="eastAsia"/>
          <w:b/>
          <w:sz w:val="24"/>
          <w:szCs w:val="24"/>
          <w:lang w:eastAsia="zh-TW"/>
        </w:rPr>
        <w:t>同時，政府應放寬平機會的權限，增加資源，以支援反歧視等人權工作，因為人權法例對維護香港文明都市形象及核心價值有很重要的功能。</w:t>
      </w:r>
      <w:r w:rsidR="009C1517">
        <w:rPr>
          <w:rFonts w:ascii="新細明體" w:eastAsia="新細明體" w:hAnsi="新細明體" w:cs="Arial" w:hint="eastAsia"/>
          <w:b/>
          <w:bCs/>
          <w:color w:val="000000"/>
          <w:lang w:eastAsia="zh-TW"/>
        </w:rPr>
        <w:t>期</w:t>
      </w:r>
      <w:r w:rsidR="009C1517">
        <w:rPr>
          <w:rFonts w:ascii="新細明體" w:eastAsia="新細明體" w:hAnsi="新細明體" w:cs="Arial" w:hint="eastAsia"/>
          <w:b/>
          <w:bCs/>
          <w:color w:val="000000"/>
        </w:rPr>
        <w:t>望新一屆政府對反歧視法作出重視及跟進。</w:t>
      </w:r>
    </w:p>
    <w:p w:rsidR="008D1C7C" w:rsidRPr="00B45FC0" w:rsidRDefault="008D1C7C" w:rsidP="00C070F5">
      <w:pPr>
        <w:jc w:val="both"/>
        <w:rPr>
          <w:rFonts w:eastAsia="新細明體"/>
          <w:sz w:val="24"/>
          <w:szCs w:val="24"/>
          <w:lang w:eastAsia="zh-TW"/>
        </w:rPr>
      </w:pPr>
    </w:p>
    <w:p w:rsidR="006467AF" w:rsidRPr="007B51E4" w:rsidRDefault="006467AF" w:rsidP="007B51E4">
      <w:pPr>
        <w:jc w:val="both"/>
        <w:rPr>
          <w:rFonts w:eastAsia="新細明體"/>
          <w:b/>
          <w:sz w:val="28"/>
          <w:szCs w:val="28"/>
          <w:u w:val="single"/>
          <w:lang w:eastAsia="zh-TW"/>
        </w:rPr>
      </w:pPr>
      <w:r w:rsidRPr="007B51E4">
        <w:rPr>
          <w:rFonts w:eastAsia="新細明體" w:hint="eastAsia"/>
          <w:b/>
          <w:sz w:val="28"/>
          <w:szCs w:val="28"/>
          <w:u w:val="single"/>
          <w:lang w:eastAsia="zh-TW"/>
        </w:rPr>
        <w:t>立法禁止對新移民的歧視</w:t>
      </w: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新移民來港適應支援薄弱，更要面對嚴重</w:t>
      </w:r>
      <w:r w:rsidR="007B51E4" w:rsidRPr="00C05276">
        <w:rPr>
          <w:rFonts w:ascii="新細明體" w:eastAsia="新細明體" w:hAnsi="新細明體"/>
          <w:sz w:val="24"/>
          <w:szCs w:val="24"/>
          <w:lang w:eastAsia="zh-TW"/>
        </w:rPr>
        <w:t>歧視</w:t>
      </w:r>
      <w:r w:rsidR="009D316E">
        <w:rPr>
          <w:rFonts w:ascii="新細明體" w:eastAsia="新細明體" w:hAnsi="新細明體" w:hint="eastAsia"/>
          <w:sz w:val="24"/>
          <w:szCs w:val="24"/>
          <w:lang w:eastAsia="zh-TW"/>
        </w:rPr>
        <w:t>。</w:t>
      </w:r>
      <w:proofErr w:type="gramStart"/>
      <w:r w:rsidR="007B51E4" w:rsidRPr="00C05276">
        <w:rPr>
          <w:rFonts w:ascii="新細明體" w:eastAsia="新細明體" w:hAnsi="新細明體"/>
          <w:sz w:val="24"/>
          <w:szCs w:val="24"/>
          <w:lang w:eastAsia="zh-TW"/>
        </w:rPr>
        <w:t>過往</w:t>
      </w:r>
      <w:r w:rsidR="007B51E4" w:rsidRPr="00C05276">
        <w:rPr>
          <w:rFonts w:ascii="新細明體" w:eastAsia="新細明體" w:hAnsi="新細明體" w:hint="eastAsia"/>
          <w:sz w:val="24"/>
          <w:szCs w:val="24"/>
          <w:lang w:eastAsia="zh-TW"/>
        </w:rPr>
        <w:t>社協</w:t>
      </w:r>
      <w:r w:rsidR="009D316E">
        <w:rPr>
          <w:rFonts w:ascii="新細明體" w:eastAsia="新細明體" w:hAnsi="新細明體" w:hint="eastAsia"/>
          <w:sz w:val="24"/>
          <w:szCs w:val="24"/>
          <w:lang w:eastAsia="zh-TW"/>
        </w:rPr>
        <w:t>多次</w:t>
      </w:r>
      <w:proofErr w:type="gramEnd"/>
      <w:r w:rsidR="009D316E">
        <w:rPr>
          <w:rFonts w:ascii="新細明體" w:eastAsia="新細明體" w:hAnsi="新細明體"/>
          <w:sz w:val="24"/>
          <w:szCs w:val="24"/>
          <w:lang w:eastAsia="zh-TW"/>
        </w:rPr>
        <w:t>的調查</w:t>
      </w:r>
      <w:r w:rsidR="009D316E">
        <w:rPr>
          <w:rFonts w:ascii="新細明體" w:eastAsia="新細明體" w:hAnsi="新細明體" w:hint="eastAsia"/>
          <w:sz w:val="24"/>
          <w:szCs w:val="24"/>
          <w:lang w:eastAsia="zh-TW"/>
        </w:rPr>
        <w:t>均</w:t>
      </w:r>
      <w:r w:rsidRPr="00C05276">
        <w:rPr>
          <w:rFonts w:ascii="新細明體" w:eastAsia="新細明體" w:hAnsi="新細明體"/>
          <w:sz w:val="24"/>
          <w:szCs w:val="24"/>
          <w:lang w:eastAsia="zh-TW"/>
        </w:rPr>
        <w:t>發現七成至八成新移民在政府政策、就業、政府部門服務、日常生活中均受到各種歧視，其中包括一成多（11.7%）新移民子女被同學或其他小朋友排擠。造成其經濟困難、學習困難、情緒低落、精神抑鬱等嚴重後果。</w:t>
      </w:r>
    </w:p>
    <w:p w:rsidR="006467AF" w:rsidRPr="00C05276" w:rsidRDefault="006467AF" w:rsidP="00C05276">
      <w:pPr>
        <w:spacing w:line="300" w:lineRule="exact"/>
        <w:ind w:left="360"/>
        <w:jc w:val="both"/>
        <w:rPr>
          <w:rFonts w:ascii="新細明體" w:eastAsia="新細明體" w:hAnsi="新細明體"/>
          <w:sz w:val="24"/>
          <w:szCs w:val="24"/>
          <w:lang w:eastAsia="zh-TW"/>
        </w:rPr>
      </w:pP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近年更不時出現有團體及市民公然侮辱新移民及內地旅客的情況，而社會有關新移民的資訊亦很多不實及負面的。不少人都以為九成新移民</w:t>
      </w:r>
      <w:proofErr w:type="gramStart"/>
      <w:r w:rsidRPr="00C05276">
        <w:rPr>
          <w:rFonts w:ascii="新細明體" w:eastAsia="新細明體" w:hAnsi="新細明體"/>
          <w:sz w:val="24"/>
          <w:szCs w:val="24"/>
          <w:lang w:eastAsia="zh-TW"/>
        </w:rPr>
        <w:t>領取綜援</w:t>
      </w:r>
      <w:proofErr w:type="gramEnd"/>
      <w:r w:rsidRPr="00C05276">
        <w:rPr>
          <w:rFonts w:ascii="新細明體" w:eastAsia="新細明體" w:hAnsi="新細明體"/>
          <w:sz w:val="24"/>
          <w:szCs w:val="24"/>
          <w:lang w:eastAsia="zh-TW"/>
        </w:rPr>
        <w:t>、甚至公然標示新移民是蝗蟲、霸佔公屋資源、學歷低、搶香港人飯碗等，但翻閱政府最新數據，新移民</w:t>
      </w:r>
      <w:proofErr w:type="gramStart"/>
      <w:r w:rsidRPr="00C05276">
        <w:rPr>
          <w:rFonts w:ascii="新細明體" w:eastAsia="新細明體" w:hAnsi="新細明體"/>
          <w:sz w:val="24"/>
          <w:szCs w:val="24"/>
          <w:lang w:eastAsia="zh-TW"/>
        </w:rPr>
        <w:t>佔整體綜援數字</w:t>
      </w:r>
      <w:proofErr w:type="gramEnd"/>
      <w:r w:rsidRPr="00C05276">
        <w:rPr>
          <w:rFonts w:ascii="新細明體" w:eastAsia="新細明體" w:hAnsi="新細明體"/>
          <w:sz w:val="24"/>
          <w:szCs w:val="24"/>
          <w:lang w:eastAsia="zh-TW"/>
        </w:rPr>
        <w:t>只有約6%，公屋申請只有15%。</w:t>
      </w:r>
    </w:p>
    <w:p w:rsidR="006467AF" w:rsidRPr="00C05276" w:rsidRDefault="006467AF" w:rsidP="00C05276">
      <w:pPr>
        <w:pStyle w:val="a5"/>
        <w:spacing w:line="300" w:lineRule="exact"/>
        <w:ind w:left="440"/>
        <w:jc w:val="both"/>
        <w:rPr>
          <w:rFonts w:ascii="新細明體" w:eastAsia="新細明體" w:hAnsi="新細明體"/>
          <w:sz w:val="24"/>
          <w:szCs w:val="24"/>
          <w:lang w:eastAsia="zh-TW"/>
        </w:rPr>
      </w:pP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嚴重的歧視新移民及內地居民情況令新移民感到不被尊重和接納，降低了他們的自我價值感，令有些新移民對在公眾場合透露自己是新移民感到恐懼，影響了新移民融入香港社會的主動性，妨礙社交及融入社會。</w:t>
      </w:r>
    </w:p>
    <w:p w:rsidR="006467AF" w:rsidRPr="00C05276" w:rsidRDefault="006467AF" w:rsidP="00C05276">
      <w:pPr>
        <w:pStyle w:val="a5"/>
        <w:spacing w:line="300" w:lineRule="exact"/>
        <w:ind w:left="440"/>
        <w:jc w:val="both"/>
        <w:rPr>
          <w:rFonts w:ascii="新細明體" w:eastAsia="新細明體" w:hAnsi="新細明體"/>
          <w:sz w:val="24"/>
          <w:szCs w:val="24"/>
          <w:lang w:eastAsia="zh-TW"/>
        </w:rPr>
      </w:pP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根據扶貧委員會最新發佈的</w:t>
      </w:r>
      <w:r w:rsidR="009D316E">
        <w:rPr>
          <w:rFonts w:ascii="新細明體" w:eastAsia="新細明體" w:hAnsi="新細明體" w:hint="eastAsia"/>
          <w:sz w:val="24"/>
          <w:szCs w:val="24"/>
          <w:lang w:eastAsia="zh-TW"/>
        </w:rPr>
        <w:t>《</w:t>
      </w:r>
      <w:r w:rsidRPr="00C05276">
        <w:rPr>
          <w:rFonts w:ascii="新細明體" w:eastAsia="新細明體" w:hAnsi="新細明體"/>
          <w:sz w:val="24"/>
          <w:szCs w:val="24"/>
          <w:lang w:eastAsia="zh-TW"/>
        </w:rPr>
        <w:t>2015年貧窮報告</w:t>
      </w:r>
      <w:r w:rsidR="009D316E">
        <w:rPr>
          <w:rFonts w:ascii="新細明體" w:eastAsia="新細明體" w:hAnsi="新細明體" w:hint="eastAsia"/>
          <w:sz w:val="24"/>
          <w:szCs w:val="24"/>
          <w:lang w:eastAsia="zh-TW"/>
        </w:rPr>
        <w:t>》</w:t>
      </w:r>
      <w:r w:rsidRPr="00C05276">
        <w:rPr>
          <w:rFonts w:ascii="新細明體" w:eastAsia="新細明體" w:hAnsi="新細明體"/>
          <w:sz w:val="24"/>
          <w:szCs w:val="24"/>
          <w:lang w:eastAsia="zh-TW"/>
        </w:rPr>
        <w:t>，新移民的貧窮率高達31.8%，</w:t>
      </w:r>
      <w:proofErr w:type="gramStart"/>
      <w:r w:rsidRPr="00C05276">
        <w:rPr>
          <w:rFonts w:ascii="新細明體" w:eastAsia="新細明體" w:hAnsi="新細明體"/>
          <w:sz w:val="24"/>
          <w:szCs w:val="24"/>
          <w:lang w:eastAsia="zh-TW"/>
        </w:rPr>
        <w:t>較全港</w:t>
      </w:r>
      <w:proofErr w:type="gramEnd"/>
      <w:r w:rsidRPr="00C05276">
        <w:rPr>
          <w:rFonts w:ascii="新細明體" w:eastAsia="新細明體" w:hAnsi="新細明體"/>
          <w:sz w:val="24"/>
          <w:szCs w:val="24"/>
          <w:lang w:eastAsia="zh-TW"/>
        </w:rPr>
        <w:t>貧窮率幾乎多一倍，可見歧視削弱新移民的經濟收入及發展，影響脫貧機會。長遠而言，新一代的新移民兒童，將會是香港社會的棟樑，若歧視情況不斷加深，使他們缺乏對香港社會的認同和歸屬感，實在不利香港的長遠發展。</w:t>
      </w:r>
    </w:p>
    <w:p w:rsidR="006467AF" w:rsidRPr="00C05276" w:rsidRDefault="006467AF" w:rsidP="00C05276">
      <w:pPr>
        <w:spacing w:line="300" w:lineRule="exact"/>
        <w:jc w:val="both"/>
        <w:rPr>
          <w:rFonts w:ascii="新細明體" w:eastAsia="新細明體" w:hAnsi="新細明體"/>
          <w:sz w:val="24"/>
          <w:szCs w:val="24"/>
          <w:lang w:eastAsia="zh-TW"/>
        </w:rPr>
      </w:pPr>
    </w:p>
    <w:p w:rsidR="006467AF" w:rsidRPr="00C05276" w:rsidRDefault="006467AF" w:rsidP="00C05276">
      <w:pPr>
        <w:spacing w:line="300" w:lineRule="exact"/>
        <w:jc w:val="both"/>
        <w:rPr>
          <w:rFonts w:ascii="新細明體" w:eastAsia="新細明體" w:hAnsi="新細明體"/>
          <w:b/>
          <w:sz w:val="24"/>
          <w:szCs w:val="24"/>
          <w:lang w:eastAsia="zh-TW"/>
        </w:rPr>
      </w:pPr>
      <w:bookmarkStart w:id="1" w:name="OLE_LINK6"/>
      <w:bookmarkStart w:id="2" w:name="OLE_LINK12"/>
      <w:bookmarkStart w:id="3" w:name="OLE_LINK24"/>
      <w:bookmarkStart w:id="4" w:name="OLE_LINK8"/>
      <w:r w:rsidRPr="00C05276">
        <w:rPr>
          <w:rFonts w:ascii="新細明體" w:eastAsia="新細明體" w:hAnsi="新細明體"/>
          <w:b/>
          <w:sz w:val="24"/>
          <w:szCs w:val="24"/>
          <w:lang w:eastAsia="zh-TW"/>
        </w:rPr>
        <w:t>國際責任立法保障國籍、公民身份和居民身份免受歧視</w:t>
      </w: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聯合國經濟、社會及文化權利委員會(下稱｢委員會｣)於2014年5月26日的《審議結論》（聯合國文件：E/C.12/CHN/CO/2</w:t>
      </w:r>
      <w:proofErr w:type="gramStart"/>
      <w:r w:rsidRPr="00C05276">
        <w:rPr>
          <w:rFonts w:ascii="新細明體" w:eastAsia="新細明體" w:hAnsi="新細明體"/>
          <w:sz w:val="24"/>
          <w:szCs w:val="24"/>
          <w:lang w:eastAsia="zh-TW"/>
        </w:rPr>
        <w:t>）</w:t>
      </w:r>
      <w:proofErr w:type="gramEnd"/>
      <w:r w:rsidRPr="00C05276">
        <w:rPr>
          <w:rFonts w:ascii="新細明體" w:eastAsia="新細明體" w:hAnsi="新細明體"/>
          <w:sz w:val="24"/>
          <w:szCs w:val="24"/>
          <w:lang w:eastAsia="zh-TW"/>
        </w:rPr>
        <w:t>，當中重申建議香港特區政府“通過全面的反歧視法”，並促請香港特區政府“消除對移民以及來自中國其他地方的境內外來人口的廣泛歧視行為”</w:t>
      </w:r>
      <w:r w:rsidRPr="00C05276">
        <w:rPr>
          <w:rFonts w:ascii="新細明體" w:eastAsia="新細明體" w:hAnsi="新細明體"/>
          <w:sz w:val="24"/>
          <w:szCs w:val="24"/>
          <w:lang w:eastAsia="zh-TW"/>
        </w:rPr>
        <w:footnoteReference w:id="1"/>
      </w:r>
      <w:r w:rsidRPr="00C05276">
        <w:rPr>
          <w:rFonts w:ascii="新細明體" w:eastAsia="新細明體" w:hAnsi="新細明體"/>
          <w:sz w:val="24"/>
          <w:szCs w:val="24"/>
          <w:lang w:eastAsia="zh-TW"/>
        </w:rPr>
        <w:t>。</w:t>
      </w:r>
    </w:p>
    <w:p w:rsidR="006467AF" w:rsidRPr="003152CC" w:rsidRDefault="006467AF" w:rsidP="00C05276">
      <w:pPr>
        <w:spacing w:line="300" w:lineRule="exact"/>
        <w:ind w:left="360"/>
        <w:jc w:val="both"/>
        <w:rPr>
          <w:rFonts w:ascii="新細明體" w:eastAsia="新細明體" w:hAnsi="新細明體"/>
          <w:sz w:val="24"/>
          <w:szCs w:val="24"/>
          <w:lang w:eastAsia="zh-TW"/>
        </w:rPr>
      </w:pP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而平機會在“歧視條例檢討”的公眾諮詢報告，亦建議國籍、公民身份和居民身份都應列入免受種族歧視的保護之中。</w:t>
      </w:r>
    </w:p>
    <w:p w:rsidR="006467AF" w:rsidRPr="009D316E" w:rsidRDefault="006467AF" w:rsidP="00C05276">
      <w:pPr>
        <w:pStyle w:val="a5"/>
        <w:spacing w:line="300" w:lineRule="exact"/>
        <w:ind w:left="440"/>
        <w:jc w:val="both"/>
        <w:rPr>
          <w:rFonts w:ascii="新細明體" w:eastAsia="新細明體" w:hAnsi="新細明體"/>
          <w:sz w:val="24"/>
          <w:szCs w:val="24"/>
          <w:lang w:eastAsia="zh-TW"/>
        </w:rPr>
      </w:pP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根據普通法案例</w:t>
      </w:r>
      <w:r w:rsidRPr="00C05276">
        <w:rPr>
          <w:rFonts w:ascii="新細明體" w:eastAsia="新細明體" w:hAnsi="新細明體"/>
          <w:sz w:val="24"/>
          <w:szCs w:val="24"/>
          <w:lang w:eastAsia="zh-TW"/>
        </w:rPr>
        <w:footnoteReference w:id="2"/>
      </w:r>
      <w:r w:rsidRPr="00C05276">
        <w:rPr>
          <w:rFonts w:ascii="新細明體" w:eastAsia="新細明體" w:hAnsi="新細明體"/>
          <w:sz w:val="24"/>
          <w:szCs w:val="24"/>
          <w:lang w:eastAsia="zh-TW"/>
        </w:rPr>
        <w:t>，對於“種族”的理解，可包括來自同一國家不同地區、來源人士所面對歧視情況，而來自中國內地的新移民和內地居民，可被視為與香港土生土長期居住的香港居民有著不同的“民族或人種”本源，因而應按照國際公約中對種族歧視的理解而獲得法律保障免受歧視。</w:t>
      </w:r>
    </w:p>
    <w:p w:rsidR="006467AF" w:rsidRPr="00C05276" w:rsidRDefault="006467AF" w:rsidP="00C05276">
      <w:pPr>
        <w:pStyle w:val="a5"/>
        <w:spacing w:line="300" w:lineRule="exact"/>
        <w:ind w:left="440"/>
        <w:jc w:val="both"/>
        <w:rPr>
          <w:rFonts w:ascii="新細明體" w:eastAsia="新細明體" w:hAnsi="新細明體"/>
          <w:sz w:val="24"/>
          <w:szCs w:val="24"/>
          <w:lang w:eastAsia="zh-TW"/>
        </w:rPr>
      </w:pPr>
    </w:p>
    <w:p w:rsidR="006467AF" w:rsidRPr="00C05276" w:rsidRDefault="006467AF" w:rsidP="00C05276">
      <w:pPr>
        <w:spacing w:line="300" w:lineRule="exact"/>
        <w:jc w:val="both"/>
        <w:rPr>
          <w:rFonts w:ascii="新細明體" w:eastAsia="新細明體" w:hAnsi="新細明體"/>
          <w:b/>
          <w:sz w:val="24"/>
          <w:szCs w:val="24"/>
          <w:lang w:eastAsia="zh-TW"/>
        </w:rPr>
      </w:pPr>
      <w:bookmarkStart w:id="5" w:name="OLE_LINK5"/>
      <w:bookmarkStart w:id="6" w:name="OLE_LINK7"/>
      <w:bookmarkEnd w:id="1"/>
      <w:bookmarkEnd w:id="2"/>
      <w:bookmarkEnd w:id="3"/>
      <w:bookmarkEnd w:id="4"/>
      <w:r w:rsidRPr="00C05276">
        <w:rPr>
          <w:rFonts w:ascii="新細明體" w:eastAsia="新細明體" w:hAnsi="新細明體"/>
          <w:b/>
          <w:sz w:val="24"/>
          <w:szCs w:val="24"/>
          <w:lang w:eastAsia="zh-TW"/>
        </w:rPr>
        <w:t>立法禁止種族仇恨及種族騷擾</w:t>
      </w: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近年，社會上出現愈來愈多鼓吹對新移民及內地人的侮辱、歧視、騷擾以至仇恨性行為。</w:t>
      </w:r>
    </w:p>
    <w:p w:rsidR="006467AF" w:rsidRPr="003152CC" w:rsidRDefault="006467AF" w:rsidP="00C05276">
      <w:pPr>
        <w:spacing w:line="300" w:lineRule="exact"/>
        <w:ind w:left="360"/>
        <w:jc w:val="both"/>
        <w:rPr>
          <w:rFonts w:ascii="新細明體" w:eastAsia="新細明體" w:hAnsi="新細明體"/>
          <w:sz w:val="24"/>
          <w:szCs w:val="24"/>
          <w:lang w:eastAsia="zh-TW"/>
        </w:rPr>
      </w:pP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自二次大戰後，國際社會廣泛認同必須透過立法加以禁止種族仇恨行為，因為種族仇恨行為與意識的擴散對國際人權以至世界和平均是重大威脅。《公民權利和政治權利國際公約》第20(2)條規定：“任何鼓吹民族、種族或宗教仇恨之主張，構成煽動歧視、敵視或強暴者，應以法律禁止之。”《消除一切形式種族歧視國際公約》</w:t>
      </w:r>
      <w:proofErr w:type="gramStart"/>
      <w:r w:rsidRPr="00C05276">
        <w:rPr>
          <w:rFonts w:ascii="新細明體" w:eastAsia="新細明體" w:hAnsi="新細明體"/>
          <w:sz w:val="24"/>
          <w:szCs w:val="24"/>
          <w:lang w:eastAsia="zh-TW"/>
        </w:rPr>
        <w:t>第4(</w:t>
      </w:r>
      <w:proofErr w:type="gramEnd"/>
      <w:r w:rsidRPr="00C05276">
        <w:rPr>
          <w:rFonts w:ascii="新細明體" w:eastAsia="新細明體" w:hAnsi="新細明體"/>
          <w:sz w:val="24"/>
          <w:szCs w:val="24"/>
          <w:lang w:eastAsia="zh-TW"/>
        </w:rPr>
        <w:t>a)條亦規定：“應宣告凡傳播以種族優越或仇恨為根據的思想，煽動種族歧視，對任何種族或屬於另一膚色或人種的人群實施強暴行為或煽動此種行為，以及對種族主義者的活動給予任何協助者，包括籌供經費在內，概為犯罪行為，依法懲處”。</w:t>
      </w:r>
    </w:p>
    <w:p w:rsidR="006467AF" w:rsidRPr="00C05276" w:rsidRDefault="006467AF" w:rsidP="00C05276">
      <w:pPr>
        <w:spacing w:line="300" w:lineRule="exact"/>
        <w:ind w:left="360"/>
        <w:jc w:val="both"/>
        <w:rPr>
          <w:rFonts w:ascii="新細明體" w:eastAsia="新細明體" w:hAnsi="新細明體"/>
          <w:sz w:val="24"/>
          <w:szCs w:val="24"/>
          <w:lang w:eastAsia="zh-TW"/>
        </w:rPr>
      </w:pPr>
    </w:p>
    <w:p w:rsidR="006467AF" w:rsidRPr="00C05276" w:rsidRDefault="006467AF" w:rsidP="00C05276">
      <w:pPr>
        <w:widowControl w:val="0"/>
        <w:numPr>
          <w:ilvl w:val="0"/>
          <w:numId w:val="3"/>
        </w:numPr>
        <w:spacing w:after="0"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英國政府亦已分別於1986及1998年立法將“種族仇恨(racial hatred)”</w:t>
      </w:r>
      <w:r w:rsidRPr="00C05276">
        <w:rPr>
          <w:rFonts w:ascii="新細明體" w:eastAsia="新細明體" w:hAnsi="新細明體"/>
          <w:sz w:val="24"/>
          <w:szCs w:val="24"/>
          <w:lang w:eastAsia="zh-TW"/>
        </w:rPr>
        <w:footnoteReference w:id="3"/>
      </w:r>
      <w:r w:rsidRPr="00C05276">
        <w:rPr>
          <w:rFonts w:ascii="新細明體" w:eastAsia="新細明體" w:hAnsi="新細明體"/>
          <w:sz w:val="24"/>
          <w:szCs w:val="24"/>
          <w:lang w:eastAsia="zh-TW"/>
        </w:rPr>
        <w:t>和“種族騷擾(racial harassment)”</w:t>
      </w:r>
      <w:r w:rsidRPr="00C05276">
        <w:rPr>
          <w:rFonts w:ascii="新細明體" w:eastAsia="新細明體" w:hAnsi="新細明體"/>
          <w:sz w:val="24"/>
          <w:szCs w:val="24"/>
          <w:lang w:eastAsia="zh-TW"/>
        </w:rPr>
        <w:footnoteReference w:id="4"/>
      </w:r>
      <w:r w:rsidRPr="00C05276">
        <w:rPr>
          <w:rFonts w:ascii="新細明體" w:eastAsia="新細明體" w:hAnsi="新細明體"/>
          <w:sz w:val="24"/>
          <w:szCs w:val="24"/>
          <w:lang w:eastAsia="zh-TW"/>
        </w:rPr>
        <w:t>等行為列為刑事罪行，以防止種族問題激化。</w:t>
      </w:r>
      <w:bookmarkEnd w:id="5"/>
    </w:p>
    <w:p w:rsidR="006467AF" w:rsidRPr="00C05276" w:rsidRDefault="006467AF" w:rsidP="00C05276">
      <w:pPr>
        <w:spacing w:line="300" w:lineRule="exact"/>
        <w:jc w:val="both"/>
        <w:rPr>
          <w:rFonts w:ascii="新細明體" w:eastAsia="新細明體" w:hAnsi="新細明體"/>
          <w:sz w:val="24"/>
          <w:szCs w:val="24"/>
          <w:lang w:eastAsia="zh-TW"/>
        </w:rPr>
      </w:pPr>
      <w:bookmarkStart w:id="7" w:name="OLE_LINK9"/>
    </w:p>
    <w:p w:rsidR="006467AF" w:rsidRPr="00C05276" w:rsidRDefault="006467AF" w:rsidP="00C05276">
      <w:pPr>
        <w:spacing w:line="300" w:lineRule="exact"/>
        <w:jc w:val="both"/>
        <w:rPr>
          <w:rFonts w:ascii="新細明體" w:eastAsia="新細明體" w:hAnsi="新細明體"/>
          <w:b/>
          <w:sz w:val="24"/>
          <w:szCs w:val="24"/>
          <w:lang w:eastAsia="zh-TW"/>
        </w:rPr>
      </w:pPr>
      <w:r w:rsidRPr="00C05276">
        <w:rPr>
          <w:rFonts w:ascii="新細明體" w:eastAsia="新細明體" w:hAnsi="新細明體"/>
          <w:b/>
          <w:sz w:val="24"/>
          <w:szCs w:val="24"/>
          <w:lang w:eastAsia="zh-TW"/>
        </w:rPr>
        <w:t>建議</w:t>
      </w:r>
    </w:p>
    <w:bookmarkEnd w:id="6"/>
    <w:bookmarkEnd w:id="7"/>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1.</w:t>
      </w:r>
      <w:r w:rsidRPr="00C05276">
        <w:rPr>
          <w:rFonts w:ascii="新細明體" w:eastAsia="新細明體" w:hAnsi="新細明體" w:hint="eastAsia"/>
          <w:sz w:val="24"/>
          <w:szCs w:val="24"/>
          <w:lang w:eastAsia="zh-TW"/>
        </w:rPr>
        <w:t xml:space="preserve"> 履</w:t>
      </w:r>
      <w:r w:rsidRPr="00C05276">
        <w:rPr>
          <w:rFonts w:ascii="新細明體" w:eastAsia="新細明體" w:hAnsi="新細明體"/>
          <w:sz w:val="24"/>
          <w:szCs w:val="24"/>
          <w:lang w:eastAsia="zh-TW"/>
        </w:rPr>
        <w:t>行國際責任，</w:t>
      </w:r>
      <w:r w:rsidRPr="00C05276">
        <w:rPr>
          <w:rFonts w:ascii="新細明體" w:eastAsia="新細明體" w:hAnsi="新細明體" w:hint="eastAsia"/>
          <w:sz w:val="24"/>
          <w:szCs w:val="24"/>
          <w:lang w:eastAsia="zh-TW"/>
        </w:rPr>
        <w:t>修訂</w:t>
      </w:r>
      <w:r w:rsidRPr="00C05276">
        <w:rPr>
          <w:rFonts w:ascii="新細明體" w:eastAsia="新細明體" w:hAnsi="新細明體"/>
          <w:sz w:val="24"/>
          <w:szCs w:val="24"/>
          <w:lang w:eastAsia="zh-TW"/>
        </w:rPr>
        <w:t>《</w:t>
      </w:r>
      <w:r w:rsidRPr="00C05276">
        <w:rPr>
          <w:rFonts w:ascii="新細明體" w:eastAsia="新細明體" w:hAnsi="新細明體" w:hint="eastAsia"/>
          <w:sz w:val="24"/>
          <w:szCs w:val="24"/>
          <w:lang w:eastAsia="zh-TW"/>
        </w:rPr>
        <w:t>種族歧視條例</w:t>
      </w:r>
      <w:r w:rsidRPr="00C05276">
        <w:rPr>
          <w:rFonts w:ascii="新細明體" w:eastAsia="新細明體" w:hAnsi="新細明體"/>
          <w:sz w:val="24"/>
          <w:szCs w:val="24"/>
          <w:lang w:eastAsia="zh-TW"/>
        </w:rPr>
        <w:t>》</w:t>
      </w:r>
      <w:r w:rsidRPr="00C05276">
        <w:rPr>
          <w:rFonts w:ascii="新細明體" w:eastAsia="新細明體" w:hAnsi="新細明體" w:hint="eastAsia"/>
          <w:sz w:val="24"/>
          <w:szCs w:val="24"/>
          <w:lang w:eastAsia="zh-TW"/>
        </w:rPr>
        <w:t>第8條(1)，加入</w:t>
      </w:r>
      <w:r w:rsidR="009D316E">
        <w:rPr>
          <w:rFonts w:ascii="新細明體" w:eastAsia="新細明體" w:hAnsi="新細明體" w:hint="eastAsia"/>
          <w:sz w:val="24"/>
          <w:szCs w:val="24"/>
          <w:lang w:eastAsia="zh-TW"/>
        </w:rPr>
        <w:t>“</w:t>
      </w:r>
      <w:r w:rsidRPr="00C05276">
        <w:rPr>
          <w:rFonts w:ascii="新細明體" w:eastAsia="新細明體" w:hAnsi="新細明體"/>
          <w:sz w:val="24"/>
          <w:szCs w:val="24"/>
          <w:lang w:eastAsia="zh-TW"/>
        </w:rPr>
        <w:t>國籍、公民身份、居民身份和來源地</w:t>
      </w:r>
      <w:r w:rsidR="009D316E">
        <w:rPr>
          <w:rFonts w:ascii="新細明體" w:eastAsia="新細明體" w:hAnsi="新細明體" w:hint="eastAsia"/>
          <w:sz w:val="24"/>
          <w:szCs w:val="24"/>
          <w:lang w:eastAsia="zh-TW"/>
        </w:rPr>
        <w:t>”</w:t>
      </w:r>
      <w:r w:rsidRPr="00C05276">
        <w:rPr>
          <w:rFonts w:ascii="新細明體" w:eastAsia="新細明體" w:hAnsi="新細明體" w:hint="eastAsia"/>
          <w:sz w:val="24"/>
          <w:szCs w:val="24"/>
          <w:lang w:eastAsia="zh-TW"/>
        </w:rPr>
        <w:t>。</w:t>
      </w:r>
    </w:p>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 xml:space="preserve">2. </w:t>
      </w:r>
      <w:r w:rsidRPr="00C05276">
        <w:rPr>
          <w:rFonts w:ascii="新細明體" w:eastAsia="新細明體" w:hAnsi="新細明體" w:hint="eastAsia"/>
          <w:sz w:val="24"/>
          <w:szCs w:val="24"/>
          <w:lang w:eastAsia="zh-TW"/>
        </w:rPr>
        <w:t>廢除</w:t>
      </w:r>
      <w:r w:rsidR="009D316E">
        <w:rPr>
          <w:rFonts w:ascii="新細明體" w:eastAsia="新細明體" w:hAnsi="新細明體" w:hint="eastAsia"/>
          <w:sz w:val="24"/>
          <w:szCs w:val="24"/>
          <w:lang w:eastAsia="zh-TW"/>
        </w:rPr>
        <w:t>《</w:t>
      </w:r>
      <w:r w:rsidRPr="00C05276">
        <w:rPr>
          <w:rFonts w:ascii="新細明體" w:eastAsia="新細明體" w:hAnsi="新細明體" w:hint="eastAsia"/>
          <w:sz w:val="24"/>
          <w:szCs w:val="24"/>
          <w:lang w:eastAsia="zh-TW"/>
        </w:rPr>
        <w:t>種族歧視條例</w:t>
      </w:r>
      <w:r w:rsidR="009D316E">
        <w:rPr>
          <w:rFonts w:ascii="新細明體" w:eastAsia="新細明體" w:hAnsi="新細明體" w:hint="eastAsia"/>
          <w:sz w:val="24"/>
          <w:szCs w:val="24"/>
          <w:lang w:eastAsia="zh-TW"/>
        </w:rPr>
        <w:t>》</w:t>
      </w:r>
      <w:r w:rsidRPr="00C05276">
        <w:rPr>
          <w:rFonts w:ascii="新細明體" w:eastAsia="新細明體" w:hAnsi="新細明體" w:hint="eastAsia"/>
          <w:sz w:val="24"/>
          <w:szCs w:val="24"/>
          <w:lang w:eastAsia="zh-TW"/>
        </w:rPr>
        <w:t>第8條(2)及(3)，即廢除涉及永久性居民、居留權、居住年期、國籍、公民身分、居民身分等的豁免條款。</w:t>
      </w:r>
    </w:p>
    <w:p w:rsidR="006467AF" w:rsidRPr="00C05276" w:rsidRDefault="007B51E4"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 xml:space="preserve">3. </w:t>
      </w:r>
      <w:r w:rsidR="006467AF" w:rsidRPr="00C05276">
        <w:rPr>
          <w:rFonts w:ascii="新細明體" w:eastAsia="新細明體" w:hAnsi="新細明體"/>
          <w:sz w:val="24"/>
          <w:szCs w:val="24"/>
          <w:lang w:eastAsia="zh-TW"/>
        </w:rPr>
        <w:t>立法</w:t>
      </w:r>
      <w:r w:rsidR="006467AF" w:rsidRPr="00C05276">
        <w:rPr>
          <w:rFonts w:ascii="新細明體" w:eastAsia="新細明體" w:hAnsi="新細明體" w:hint="eastAsia"/>
          <w:sz w:val="24"/>
          <w:szCs w:val="24"/>
          <w:lang w:eastAsia="zh-TW"/>
        </w:rPr>
        <w:t>訂明</w:t>
      </w:r>
      <w:r w:rsidR="006467AF" w:rsidRPr="00C05276">
        <w:rPr>
          <w:rFonts w:ascii="新細明體" w:eastAsia="新細明體" w:hAnsi="新細明體"/>
          <w:sz w:val="24"/>
          <w:szCs w:val="24"/>
          <w:lang w:eastAsia="zh-TW"/>
        </w:rPr>
        <w:t>種族仇恨及種族騷擾等行為</w:t>
      </w:r>
      <w:r w:rsidR="006467AF" w:rsidRPr="00C05276">
        <w:rPr>
          <w:rFonts w:ascii="新細明體" w:eastAsia="新細明體" w:hAnsi="新細明體" w:hint="eastAsia"/>
          <w:sz w:val="24"/>
          <w:szCs w:val="24"/>
          <w:lang w:eastAsia="zh-TW"/>
        </w:rPr>
        <w:t>屬刑事罪行</w:t>
      </w:r>
    </w:p>
    <w:p w:rsidR="006467AF" w:rsidRPr="00C05276" w:rsidRDefault="006467AF" w:rsidP="00C05276">
      <w:pPr>
        <w:spacing w:line="300" w:lineRule="exact"/>
        <w:jc w:val="both"/>
        <w:rPr>
          <w:rFonts w:ascii="新細明體" w:eastAsia="新細明體" w:hAnsi="新細明體"/>
          <w:sz w:val="24"/>
          <w:szCs w:val="24"/>
          <w:lang w:eastAsia="zh-TW"/>
        </w:rPr>
      </w:pPr>
      <w:bookmarkStart w:id="8" w:name="OLE_LINK11"/>
      <w:r w:rsidRPr="00C05276">
        <w:rPr>
          <w:rFonts w:ascii="新細明體" w:eastAsia="新細明體" w:hAnsi="新細明體" w:hint="eastAsia"/>
          <w:sz w:val="24"/>
          <w:szCs w:val="24"/>
          <w:lang w:eastAsia="zh-TW"/>
        </w:rPr>
        <w:t>4</w:t>
      </w:r>
      <w:r w:rsidRPr="00C05276">
        <w:rPr>
          <w:rFonts w:ascii="新細明體" w:eastAsia="新細明體" w:hAnsi="新細明體"/>
          <w:sz w:val="24"/>
          <w:szCs w:val="24"/>
          <w:lang w:eastAsia="zh-TW"/>
        </w:rPr>
        <w:t>. 修訂《種族歧視條例》，明確規定政府行使其所有職能及職權，</w:t>
      </w:r>
      <w:proofErr w:type="gramStart"/>
      <w:r w:rsidRPr="00C05276">
        <w:rPr>
          <w:rFonts w:ascii="新細明體" w:eastAsia="新細明體" w:hAnsi="新細明體"/>
          <w:sz w:val="24"/>
          <w:szCs w:val="24"/>
          <w:lang w:eastAsia="zh-TW"/>
        </w:rPr>
        <w:t>均須受</w:t>
      </w:r>
      <w:proofErr w:type="gramEnd"/>
      <w:r w:rsidRPr="00C05276">
        <w:rPr>
          <w:rFonts w:ascii="新細明體" w:eastAsia="新細明體" w:hAnsi="新細明體"/>
          <w:sz w:val="24"/>
          <w:szCs w:val="24"/>
          <w:lang w:eastAsia="zh-TW"/>
        </w:rPr>
        <w:t>有關反歧視法規管。</w:t>
      </w:r>
    </w:p>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5</w:t>
      </w:r>
      <w:r w:rsidRPr="00C05276">
        <w:rPr>
          <w:rFonts w:ascii="新細明體" w:eastAsia="新細明體" w:hAnsi="新細明體"/>
          <w:sz w:val="24"/>
          <w:szCs w:val="24"/>
          <w:lang w:eastAsia="zh-TW"/>
        </w:rPr>
        <w:t>. 修訂反歧視法例，清楚列明所有公共機構在執行法定及官方職務及行使有關職權時不可歧視。</w:t>
      </w:r>
    </w:p>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6</w:t>
      </w:r>
      <w:r w:rsidRPr="00C05276">
        <w:rPr>
          <w:rFonts w:ascii="新細明體" w:eastAsia="新細明體" w:hAnsi="新細明體"/>
          <w:sz w:val="24"/>
          <w:szCs w:val="24"/>
          <w:lang w:eastAsia="zh-TW"/>
        </w:rPr>
        <w:t>. 在立法中明確規定政府和公共機構要負起促進平等主流化的責任。</w:t>
      </w:r>
    </w:p>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7</w:t>
      </w:r>
      <w:r w:rsidRPr="00C05276">
        <w:rPr>
          <w:rFonts w:ascii="新細明體" w:eastAsia="新細明體" w:hAnsi="新細明體"/>
          <w:sz w:val="24"/>
          <w:szCs w:val="24"/>
          <w:lang w:eastAsia="zh-TW"/>
        </w:rPr>
        <w:t>. 政府及平機會應設立投訴機關處理對新移民歧視的投訴。</w:t>
      </w:r>
    </w:p>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8</w:t>
      </w:r>
      <w:r w:rsidRPr="00C05276">
        <w:rPr>
          <w:rFonts w:ascii="新細明體" w:eastAsia="新細明體" w:hAnsi="新細明體"/>
          <w:sz w:val="24"/>
          <w:szCs w:val="24"/>
          <w:lang w:eastAsia="zh-TW"/>
        </w:rPr>
        <w:t>. 取消在各項政策上對新移民的區別政策。</w:t>
      </w:r>
    </w:p>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9. 定期就新移民在香港</w:t>
      </w:r>
      <w:r w:rsidR="009D316E">
        <w:rPr>
          <w:rFonts w:ascii="新細明體" w:eastAsia="新細明體" w:hAnsi="新細明體" w:hint="eastAsia"/>
          <w:sz w:val="24"/>
          <w:szCs w:val="24"/>
          <w:lang w:eastAsia="zh-TW"/>
        </w:rPr>
        <w:t>可能面對的</w:t>
      </w:r>
      <w:r w:rsidRPr="00C05276">
        <w:rPr>
          <w:rFonts w:ascii="新細明體" w:eastAsia="新細明體" w:hAnsi="新細明體" w:hint="eastAsia"/>
          <w:sz w:val="24"/>
          <w:szCs w:val="24"/>
          <w:lang w:eastAsia="zh-TW"/>
        </w:rPr>
        <w:t>被歧視的情況進行調查研究，持續監察新移民面對歧視的情況。</w:t>
      </w:r>
    </w:p>
    <w:p w:rsidR="006467AF" w:rsidRPr="00C05276" w:rsidRDefault="007B51E4"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10</w:t>
      </w:r>
      <w:r w:rsidR="006467AF" w:rsidRPr="00C05276">
        <w:rPr>
          <w:rFonts w:ascii="新細明體" w:eastAsia="新細明體" w:hAnsi="新細明體"/>
          <w:sz w:val="24"/>
          <w:szCs w:val="24"/>
          <w:lang w:eastAsia="zh-TW"/>
        </w:rPr>
        <w:t>. 公眾教育- 在中小學及大學課程中加入認識新來港人士及多元文化等，以加強社會包容性。</w:t>
      </w:r>
    </w:p>
    <w:p w:rsidR="006467AF" w:rsidRPr="00C05276" w:rsidRDefault="007B51E4"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11</w:t>
      </w:r>
      <w:r w:rsidR="006467AF" w:rsidRPr="00C05276">
        <w:rPr>
          <w:rFonts w:ascii="新細明體" w:eastAsia="新細明體" w:hAnsi="新細明體"/>
          <w:sz w:val="24"/>
          <w:szCs w:val="24"/>
          <w:lang w:eastAsia="zh-TW"/>
        </w:rPr>
        <w:t>. 制訂新移民政策，香港社會服務及學習訓練涵蓋內地來港探親人士，設立一站式管理的新移民中心，並提供移民前後的必修預備及適應課程，協助新移民融入香港。</w:t>
      </w:r>
    </w:p>
    <w:p w:rsidR="006467AF" w:rsidRPr="00C05276" w:rsidRDefault="006467AF" w:rsidP="00C05276">
      <w:pPr>
        <w:spacing w:line="300" w:lineRule="exact"/>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1</w:t>
      </w:r>
      <w:r w:rsidRPr="00C05276">
        <w:rPr>
          <w:rFonts w:ascii="新細明體" w:eastAsia="新細明體" w:hAnsi="新細明體" w:hint="eastAsia"/>
          <w:sz w:val="24"/>
          <w:szCs w:val="24"/>
          <w:lang w:eastAsia="zh-TW"/>
        </w:rPr>
        <w:t>2</w:t>
      </w:r>
      <w:r w:rsidRPr="00C05276">
        <w:rPr>
          <w:rFonts w:ascii="新細明體" w:eastAsia="新細明體" w:hAnsi="新細明體"/>
          <w:sz w:val="24"/>
          <w:szCs w:val="24"/>
          <w:lang w:eastAsia="zh-TW"/>
        </w:rPr>
        <w:t>. 設立認可內地學歷及職業技能</w:t>
      </w:r>
      <w:r w:rsidRPr="00C05276">
        <w:rPr>
          <w:rFonts w:ascii="新細明體" w:eastAsia="新細明體" w:hAnsi="新細明體" w:hint="eastAsia"/>
          <w:sz w:val="24"/>
          <w:szCs w:val="24"/>
          <w:lang w:eastAsia="zh-TW"/>
        </w:rPr>
        <w:t>的</w:t>
      </w:r>
      <w:r w:rsidRPr="00C05276">
        <w:rPr>
          <w:rFonts w:ascii="新細明體" w:eastAsia="新細明體" w:hAnsi="新細明體"/>
          <w:sz w:val="24"/>
          <w:szCs w:val="24"/>
          <w:lang w:eastAsia="zh-TW"/>
        </w:rPr>
        <w:t>機制，讓新移民發揮所長，貢獻社會。</w:t>
      </w:r>
    </w:p>
    <w:bookmarkEnd w:id="8"/>
    <w:p w:rsidR="006467AF" w:rsidRPr="00C05276" w:rsidRDefault="006467AF" w:rsidP="00C05276">
      <w:pPr>
        <w:spacing w:line="300" w:lineRule="exact"/>
        <w:jc w:val="both"/>
        <w:rPr>
          <w:rFonts w:ascii="新細明體" w:eastAsia="新細明體" w:hAnsi="新細明體"/>
          <w:sz w:val="24"/>
          <w:szCs w:val="24"/>
          <w:lang w:eastAsia="zh-TW"/>
        </w:rPr>
      </w:pPr>
    </w:p>
    <w:p w:rsidR="006467AF" w:rsidRPr="007B51E4" w:rsidRDefault="006467AF" w:rsidP="007B51E4">
      <w:pPr>
        <w:jc w:val="both"/>
        <w:rPr>
          <w:rFonts w:eastAsia="新細明體"/>
          <w:b/>
          <w:sz w:val="28"/>
          <w:szCs w:val="28"/>
          <w:u w:val="single"/>
          <w:lang w:eastAsia="zh-TW"/>
        </w:rPr>
      </w:pPr>
      <w:r w:rsidRPr="007B51E4">
        <w:rPr>
          <w:rFonts w:eastAsia="新細明體" w:hint="eastAsia"/>
          <w:b/>
          <w:sz w:val="28"/>
          <w:szCs w:val="28"/>
          <w:u w:val="single"/>
          <w:lang w:eastAsia="zh-TW"/>
        </w:rPr>
        <w:t>立法禁止年齡歧視</w:t>
      </w:r>
    </w:p>
    <w:p w:rsidR="006467AF" w:rsidRPr="00C05276" w:rsidRDefault="006467AF" w:rsidP="00C05276">
      <w:pPr>
        <w:spacing w:after="0" w:line="320" w:lineRule="exact"/>
        <w:ind w:firstLine="720"/>
        <w:jc w:val="both"/>
        <w:rPr>
          <w:rFonts w:ascii="新細明體" w:eastAsia="新細明體" w:hAnsi="新細明體" w:cs="Times New Roman"/>
          <w:sz w:val="24"/>
          <w:szCs w:val="24"/>
          <w:lang w:eastAsia="zh-TW"/>
        </w:rPr>
      </w:pPr>
      <w:r w:rsidRPr="00C05276">
        <w:rPr>
          <w:rFonts w:ascii="新細明體" w:eastAsia="新細明體" w:hAnsi="新細明體" w:cs="Times New Roman"/>
          <w:sz w:val="24"/>
          <w:szCs w:val="24"/>
          <w:lang w:eastAsia="zh-TW"/>
        </w:rPr>
        <w:t>平機會於2016年委託顧問研究公司，就在就業期間出現的年齡歧視進行探索性研究(Exploratory Study on Age Discrimination in  Employment, Jan 2016)，當中三成半(35%)受訪僱員表示本港就業市場年齡歧視問題屬嚴重及非常嚴重、並有三成半(35%)表示自己在工作期間曾經面對最少一種形式的年齡歧視。</w:t>
      </w:r>
      <w:proofErr w:type="gramStart"/>
      <w:r w:rsidRPr="00C05276">
        <w:rPr>
          <w:rFonts w:ascii="新細明體" w:eastAsia="新細明體" w:hAnsi="新細明體" w:cs="Times New Roman"/>
          <w:sz w:val="24"/>
          <w:szCs w:val="24"/>
          <w:lang w:eastAsia="zh-TW"/>
        </w:rPr>
        <w:t>此外，</w:t>
      </w:r>
      <w:proofErr w:type="gramEnd"/>
      <w:r w:rsidR="001A4BAD">
        <w:rPr>
          <w:rFonts w:ascii="新細明體" w:eastAsia="新細明體" w:hAnsi="新細明體" w:cs="Times New Roman" w:hint="eastAsia"/>
          <w:sz w:val="24"/>
          <w:szCs w:val="24"/>
          <w:lang w:eastAsia="zh-TW"/>
        </w:rPr>
        <w:t>研究亦發現，</w:t>
      </w:r>
      <w:r w:rsidRPr="00C05276">
        <w:rPr>
          <w:rFonts w:ascii="新細明體" w:eastAsia="新細明體" w:hAnsi="新細明體" w:cs="Times New Roman"/>
          <w:sz w:val="24"/>
          <w:szCs w:val="24"/>
          <w:lang w:eastAsia="zh-TW"/>
        </w:rPr>
        <w:t>有七成(70%)受訪者支持立法禁止年齡歧視，反映社會主流意見亦認同年齡歧視立法的迫切性及必須性。</w:t>
      </w:r>
    </w:p>
    <w:p w:rsidR="006467AF" w:rsidRPr="00C05276" w:rsidRDefault="006467AF" w:rsidP="00C05276">
      <w:pPr>
        <w:spacing w:after="0" w:line="320" w:lineRule="exact"/>
        <w:ind w:firstLine="720"/>
        <w:jc w:val="both"/>
        <w:rPr>
          <w:rFonts w:ascii="新細明體" w:eastAsia="新細明體" w:hAnsi="新細明體" w:cs="Times New Roman"/>
          <w:sz w:val="24"/>
          <w:szCs w:val="24"/>
          <w:lang w:eastAsia="zh-TW"/>
        </w:rPr>
      </w:pPr>
    </w:p>
    <w:p w:rsidR="006467AF" w:rsidRPr="00C05276" w:rsidRDefault="006467AF" w:rsidP="00C05276">
      <w:pPr>
        <w:spacing w:after="0" w:line="320" w:lineRule="exact"/>
        <w:ind w:firstLine="720"/>
        <w:jc w:val="both"/>
        <w:rPr>
          <w:rFonts w:ascii="新細明體" w:eastAsia="新細明體" w:hAnsi="新細明體" w:cs="Times New Roman"/>
          <w:sz w:val="24"/>
          <w:szCs w:val="24"/>
          <w:lang w:eastAsia="zh-TW"/>
        </w:rPr>
      </w:pPr>
      <w:r w:rsidRPr="00C05276">
        <w:rPr>
          <w:rFonts w:ascii="新細明體" w:eastAsia="新細明體" w:hAnsi="新細明體" w:cs="Times New Roman"/>
          <w:sz w:val="24"/>
          <w:szCs w:val="24"/>
          <w:lang w:eastAsia="zh-TW"/>
        </w:rPr>
        <w:t>據了解，顧問研究報告就消除本港年齡歧視問題，向特區政府提出建議</w:t>
      </w:r>
      <w:proofErr w:type="gramStart"/>
      <w:r w:rsidRPr="00C05276">
        <w:rPr>
          <w:rFonts w:ascii="新細明體" w:eastAsia="新細明體" w:hAnsi="新細明體" w:cs="Times New Roman"/>
          <w:sz w:val="24"/>
          <w:szCs w:val="24"/>
          <w:lang w:eastAsia="zh-TW"/>
        </w:rPr>
        <w:t>撮</w:t>
      </w:r>
      <w:proofErr w:type="gramEnd"/>
      <w:r w:rsidRPr="00C05276">
        <w:rPr>
          <w:rFonts w:ascii="新細明體" w:eastAsia="新細明體" w:hAnsi="新細明體" w:cs="Times New Roman"/>
          <w:sz w:val="24"/>
          <w:szCs w:val="24"/>
          <w:lang w:eastAsia="zh-TW"/>
        </w:rPr>
        <w:t>要如下:</w:t>
      </w:r>
    </w:p>
    <w:p w:rsidR="006467AF" w:rsidRPr="00C05276" w:rsidRDefault="006467AF" w:rsidP="00C05276">
      <w:pPr>
        <w:spacing w:after="0" w:line="320" w:lineRule="exact"/>
        <w:ind w:firstLine="720"/>
        <w:jc w:val="both"/>
        <w:rPr>
          <w:rFonts w:ascii="新細明體" w:eastAsia="新細明體" w:hAnsi="新細明體" w:cs="Times New Roman"/>
          <w:sz w:val="24"/>
          <w:szCs w:val="24"/>
          <w:lang w:eastAsia="zh-TW"/>
        </w:rPr>
      </w:pPr>
    </w:p>
    <w:p w:rsidR="006467AF" w:rsidRPr="00C05276" w:rsidRDefault="009D316E" w:rsidP="00C05276">
      <w:pPr>
        <w:pStyle w:val="a5"/>
        <w:numPr>
          <w:ilvl w:val="0"/>
          <w:numId w:val="6"/>
        </w:numPr>
        <w:spacing w:after="0" w:line="320" w:lineRule="exact"/>
        <w:ind w:leftChars="0"/>
        <w:jc w:val="both"/>
        <w:rPr>
          <w:rFonts w:ascii="新細明體" w:eastAsia="新細明體" w:hAnsi="新細明體" w:cs="Times New Roman"/>
          <w:sz w:val="24"/>
          <w:szCs w:val="24"/>
          <w:lang w:eastAsia="zh-TW"/>
        </w:rPr>
      </w:pPr>
      <w:r>
        <w:rPr>
          <w:rFonts w:ascii="新細明體" w:eastAsia="新細明體" w:hAnsi="新細明體" w:cs="Times New Roman" w:hint="eastAsia"/>
          <w:sz w:val="24"/>
          <w:szCs w:val="24"/>
          <w:lang w:eastAsia="zh-TW"/>
        </w:rPr>
        <w:t>盡</w:t>
      </w:r>
      <w:r w:rsidR="006467AF" w:rsidRPr="00C05276">
        <w:rPr>
          <w:rFonts w:ascii="新細明體" w:eastAsia="新細明體" w:hAnsi="新細明體" w:cs="Times New Roman"/>
          <w:sz w:val="24"/>
          <w:szCs w:val="24"/>
          <w:lang w:eastAsia="zh-TW"/>
        </w:rPr>
        <w:t>快定期就本港年齡歧視的問題展開大規模研究，以監察年齡歧視的情況，更新過去十年已未有進行有關調查的數據；</w:t>
      </w:r>
    </w:p>
    <w:p w:rsidR="006467AF" w:rsidRPr="00C05276" w:rsidRDefault="006467AF" w:rsidP="00C05276">
      <w:pPr>
        <w:pStyle w:val="a5"/>
        <w:numPr>
          <w:ilvl w:val="0"/>
          <w:numId w:val="6"/>
        </w:numPr>
        <w:spacing w:after="0" w:line="320" w:lineRule="exact"/>
        <w:ind w:leftChars="0"/>
        <w:jc w:val="both"/>
        <w:rPr>
          <w:rStyle w:val="ae"/>
          <w:rFonts w:ascii="新細明體" w:eastAsia="新細明體" w:hAnsi="新細明體" w:cs="Times New Roman"/>
          <w:b w:val="0"/>
          <w:bCs w:val="0"/>
          <w:sz w:val="24"/>
          <w:szCs w:val="24"/>
          <w:lang w:eastAsia="zh-TW"/>
        </w:rPr>
      </w:pPr>
      <w:r w:rsidRPr="00C05276">
        <w:rPr>
          <w:rFonts w:ascii="新細明體" w:eastAsia="新細明體" w:hAnsi="新細明體" w:cs="Times New Roman"/>
          <w:sz w:val="24"/>
          <w:szCs w:val="24"/>
          <w:lang w:eastAsia="zh-TW"/>
        </w:rPr>
        <w:t>勞工處應加強推廣</w:t>
      </w:r>
      <w:r w:rsidR="009D316E">
        <w:rPr>
          <w:rFonts w:ascii="新細明體" w:eastAsia="新細明體" w:hAnsi="新細明體" w:cs="Times New Roman" w:hint="eastAsia"/>
          <w:sz w:val="24"/>
          <w:szCs w:val="24"/>
          <w:lang w:eastAsia="zh-TW"/>
        </w:rPr>
        <w:t>《</w:t>
      </w:r>
      <w:r w:rsidRPr="00C05276">
        <w:rPr>
          <w:rStyle w:val="ae"/>
          <w:rFonts w:ascii="新細明體" w:eastAsia="新細明體" w:hAnsi="新細明體" w:cs="Times New Roman"/>
          <w:color w:val="000000"/>
          <w:sz w:val="24"/>
          <w:szCs w:val="24"/>
          <w:lang w:eastAsia="zh-TW"/>
        </w:rPr>
        <w:t>消除就業方面的年齡歧視僱傭實務指引</w:t>
      </w:r>
      <w:r w:rsidR="009D316E">
        <w:rPr>
          <w:rStyle w:val="ae"/>
          <w:rFonts w:ascii="新細明體" w:eastAsia="新細明體" w:hAnsi="新細明體" w:cs="Times New Roman" w:hint="eastAsia"/>
          <w:color w:val="000000"/>
          <w:sz w:val="24"/>
          <w:szCs w:val="24"/>
          <w:lang w:eastAsia="zh-TW"/>
        </w:rPr>
        <w:t>》</w:t>
      </w:r>
      <w:r w:rsidRPr="00C05276">
        <w:rPr>
          <w:rStyle w:val="ae"/>
          <w:rFonts w:ascii="新細明體" w:eastAsia="新細明體" w:hAnsi="新細明體" w:cs="Times New Roman"/>
          <w:color w:val="000000"/>
          <w:sz w:val="24"/>
          <w:szCs w:val="24"/>
          <w:lang w:eastAsia="zh-TW"/>
        </w:rPr>
        <w:t>，以提升</w:t>
      </w:r>
      <w:proofErr w:type="gramStart"/>
      <w:r w:rsidRPr="00C05276">
        <w:rPr>
          <w:rStyle w:val="ae"/>
          <w:rFonts w:ascii="新細明體" w:eastAsia="新細明體" w:hAnsi="新細明體" w:cs="Times New Roman"/>
          <w:color w:val="000000"/>
          <w:sz w:val="24"/>
          <w:szCs w:val="24"/>
          <w:lang w:eastAsia="zh-TW"/>
        </w:rPr>
        <w:t>僱主防主年齡</w:t>
      </w:r>
      <w:proofErr w:type="gramEnd"/>
      <w:r w:rsidRPr="00C05276">
        <w:rPr>
          <w:rStyle w:val="ae"/>
          <w:rFonts w:ascii="新細明體" w:eastAsia="新細明體" w:hAnsi="新細明體" w:cs="Times New Roman"/>
          <w:color w:val="000000"/>
          <w:sz w:val="24"/>
          <w:szCs w:val="24"/>
          <w:lang w:eastAsia="zh-TW"/>
        </w:rPr>
        <w:t>歧視的問題；政府亦同時需要就年齡、健康及工作能力各項因素展開研究，以消除社會對年老人士的偏見和誤解；</w:t>
      </w:r>
    </w:p>
    <w:p w:rsidR="006467AF" w:rsidRPr="00C05276" w:rsidRDefault="006467AF" w:rsidP="00C05276">
      <w:pPr>
        <w:pStyle w:val="a5"/>
        <w:numPr>
          <w:ilvl w:val="0"/>
          <w:numId w:val="6"/>
        </w:numPr>
        <w:spacing w:after="0" w:line="320" w:lineRule="exact"/>
        <w:ind w:leftChars="0"/>
        <w:jc w:val="both"/>
        <w:rPr>
          <w:rStyle w:val="ae"/>
          <w:rFonts w:ascii="新細明體" w:eastAsia="新細明體" w:hAnsi="新細明體" w:cs="Times New Roman"/>
          <w:b w:val="0"/>
          <w:bCs w:val="0"/>
          <w:sz w:val="24"/>
          <w:szCs w:val="24"/>
          <w:lang w:eastAsia="zh-TW"/>
        </w:rPr>
      </w:pPr>
      <w:r w:rsidRPr="00C05276">
        <w:rPr>
          <w:rStyle w:val="ae"/>
          <w:rFonts w:ascii="新細明體" w:eastAsia="新細明體" w:hAnsi="新細明體" w:cs="Times New Roman"/>
          <w:color w:val="000000"/>
          <w:sz w:val="24"/>
          <w:szCs w:val="24"/>
          <w:lang w:eastAsia="zh-TW"/>
        </w:rPr>
        <w:lastRenderedPageBreak/>
        <w:t>在立法禁止年齡歧視以前，政府可仿</w:t>
      </w:r>
      <w:proofErr w:type="gramStart"/>
      <w:r w:rsidRPr="00C05276">
        <w:rPr>
          <w:rStyle w:val="ae"/>
          <w:rFonts w:ascii="新細明體" w:eastAsia="新細明體" w:hAnsi="新細明體" w:cs="Times New Roman"/>
          <w:color w:val="000000"/>
          <w:sz w:val="24"/>
          <w:szCs w:val="24"/>
          <w:lang w:eastAsia="zh-TW"/>
        </w:rPr>
        <w:t>傚</w:t>
      </w:r>
      <w:proofErr w:type="gramEnd"/>
      <w:r w:rsidRPr="00C05276">
        <w:rPr>
          <w:rStyle w:val="ae"/>
          <w:rFonts w:ascii="新細明體" w:eastAsia="新細明體" w:hAnsi="新細明體" w:cs="Times New Roman"/>
          <w:color w:val="000000"/>
          <w:sz w:val="24"/>
          <w:szCs w:val="24"/>
          <w:lang w:eastAsia="zh-TW"/>
        </w:rPr>
        <w:t>新加坡的經驗，引入階段性的退休方案，以減低一刀切引入年齡歧視後對就業市場帶來的負面影響；</w:t>
      </w:r>
    </w:p>
    <w:p w:rsidR="006467AF" w:rsidRPr="00C05276" w:rsidRDefault="006467AF" w:rsidP="00C05276">
      <w:pPr>
        <w:pStyle w:val="a5"/>
        <w:numPr>
          <w:ilvl w:val="0"/>
          <w:numId w:val="6"/>
        </w:numPr>
        <w:spacing w:after="0" w:line="320" w:lineRule="exact"/>
        <w:ind w:leftChars="0"/>
        <w:jc w:val="both"/>
        <w:rPr>
          <w:rFonts w:ascii="新細明體" w:eastAsia="新細明體" w:hAnsi="新細明體" w:cs="Times New Roman"/>
          <w:sz w:val="24"/>
          <w:szCs w:val="24"/>
          <w:lang w:eastAsia="zh-TW"/>
        </w:rPr>
      </w:pPr>
      <w:r w:rsidRPr="00C05276">
        <w:rPr>
          <w:rFonts w:ascii="新細明體" w:eastAsia="新細明體" w:hAnsi="新細明體" w:cs="Times New Roman"/>
          <w:sz w:val="24"/>
          <w:szCs w:val="24"/>
          <w:lang w:eastAsia="zh-TW"/>
        </w:rPr>
        <w:t>當局應檢視現時各項牌照政策或從事各項行業涉及年齡的法律規定或政策規定，以確認年齡要求是否客觀和合理的規定；</w:t>
      </w:r>
    </w:p>
    <w:p w:rsidR="006467AF" w:rsidRPr="00C05276" w:rsidRDefault="006467AF" w:rsidP="00C05276">
      <w:pPr>
        <w:pStyle w:val="a5"/>
        <w:numPr>
          <w:ilvl w:val="0"/>
          <w:numId w:val="6"/>
        </w:numPr>
        <w:spacing w:after="0" w:line="320" w:lineRule="exact"/>
        <w:ind w:leftChars="0"/>
        <w:jc w:val="both"/>
        <w:rPr>
          <w:rFonts w:ascii="新細明體" w:eastAsia="新細明體" w:hAnsi="新細明體" w:cs="Times New Roman"/>
          <w:sz w:val="24"/>
          <w:szCs w:val="24"/>
          <w:lang w:eastAsia="zh-TW"/>
        </w:rPr>
      </w:pPr>
      <w:r w:rsidRPr="00C05276">
        <w:rPr>
          <w:rFonts w:ascii="新細明體" w:eastAsia="新細明體" w:hAnsi="新細明體" w:cs="Times New Roman"/>
          <w:sz w:val="24"/>
          <w:szCs w:val="24"/>
          <w:lang w:eastAsia="zh-TW"/>
        </w:rPr>
        <w:t>當局與保險業應尋求方法，以解決年長僱員未能投保的問題，並確保年長僱員的保費訂於合理和</w:t>
      </w:r>
      <w:proofErr w:type="gramStart"/>
      <w:r w:rsidRPr="00C05276">
        <w:rPr>
          <w:rFonts w:ascii="新細明體" w:eastAsia="新細明體" w:hAnsi="新細明體" w:cs="Times New Roman"/>
          <w:sz w:val="24"/>
          <w:szCs w:val="24"/>
          <w:lang w:eastAsia="zh-TW"/>
        </w:rPr>
        <w:t>可</w:t>
      </w:r>
      <w:proofErr w:type="gramEnd"/>
      <w:r w:rsidRPr="00C05276">
        <w:rPr>
          <w:rFonts w:ascii="新細明體" w:eastAsia="新細明體" w:hAnsi="新細明體" w:cs="Times New Roman"/>
          <w:sz w:val="24"/>
          <w:szCs w:val="24"/>
          <w:lang w:eastAsia="zh-TW"/>
        </w:rPr>
        <w:t>負擔的水平。</w:t>
      </w:r>
    </w:p>
    <w:p w:rsidR="006467AF" w:rsidRPr="00C05276" w:rsidRDefault="006467AF" w:rsidP="00C05276">
      <w:pPr>
        <w:pStyle w:val="a5"/>
        <w:numPr>
          <w:ilvl w:val="0"/>
          <w:numId w:val="6"/>
        </w:numPr>
        <w:spacing w:after="0" w:line="320" w:lineRule="exact"/>
        <w:ind w:leftChars="0"/>
        <w:jc w:val="both"/>
        <w:rPr>
          <w:rFonts w:ascii="新細明體" w:eastAsia="新細明體" w:hAnsi="新細明體" w:cs="Times New Roman"/>
          <w:sz w:val="24"/>
          <w:szCs w:val="24"/>
          <w:lang w:eastAsia="zh-TW"/>
        </w:rPr>
      </w:pPr>
      <w:r w:rsidRPr="00C05276">
        <w:rPr>
          <w:rFonts w:ascii="新細明體" w:eastAsia="新細明體" w:hAnsi="新細明體" w:cs="Times New Roman"/>
          <w:sz w:val="24"/>
          <w:szCs w:val="24"/>
          <w:lang w:eastAsia="zh-TW"/>
        </w:rPr>
        <w:t>針對年輕僱員就業期間面對的歧視，當局應主動與教育院校及商界團體合作，增加青年實習及培訓機會，以增加僱主對年青僱員工作能力上的正面觀念。</w:t>
      </w:r>
    </w:p>
    <w:p w:rsidR="006467AF" w:rsidRPr="00C05276" w:rsidRDefault="006467AF" w:rsidP="00C05276">
      <w:pPr>
        <w:pStyle w:val="a5"/>
        <w:numPr>
          <w:ilvl w:val="0"/>
          <w:numId w:val="6"/>
        </w:numPr>
        <w:spacing w:after="0" w:line="320" w:lineRule="exact"/>
        <w:ind w:leftChars="0"/>
        <w:jc w:val="both"/>
        <w:rPr>
          <w:rFonts w:ascii="新細明體" w:eastAsia="新細明體" w:hAnsi="新細明體" w:cs="Times New Roman"/>
          <w:sz w:val="24"/>
          <w:szCs w:val="24"/>
          <w:lang w:eastAsia="zh-TW"/>
        </w:rPr>
      </w:pPr>
      <w:r w:rsidRPr="00C05276">
        <w:rPr>
          <w:rFonts w:ascii="新細明體" w:eastAsia="新細明體" w:hAnsi="新細明體" w:cs="Times New Roman"/>
          <w:sz w:val="24"/>
          <w:szCs w:val="24"/>
          <w:lang w:eastAsia="zh-TW"/>
        </w:rPr>
        <w:t>由應就業市場上愈來愈多人傾向從事定期兼職及非全職工作，當局應主動於政府部門內推行先導計劃，增設兼職及非全職職位，以切合年長僱員的就業需要，從而鼓勵政府合約承辦商、法定機構，乃至私人機構仿</w:t>
      </w:r>
      <w:proofErr w:type="gramStart"/>
      <w:r w:rsidRPr="00C05276">
        <w:rPr>
          <w:rFonts w:ascii="新細明體" w:eastAsia="新細明體" w:hAnsi="新細明體" w:cs="Times New Roman"/>
          <w:sz w:val="24"/>
          <w:szCs w:val="24"/>
          <w:lang w:eastAsia="zh-TW"/>
        </w:rPr>
        <w:t>傚</w:t>
      </w:r>
      <w:proofErr w:type="gramEnd"/>
      <w:r w:rsidRPr="00C05276">
        <w:rPr>
          <w:rFonts w:ascii="新細明體" w:eastAsia="新細明體" w:hAnsi="新細明體" w:cs="Times New Roman"/>
          <w:sz w:val="24"/>
          <w:szCs w:val="24"/>
          <w:lang w:eastAsia="zh-TW"/>
        </w:rPr>
        <w:t>。</w:t>
      </w:r>
    </w:p>
    <w:p w:rsidR="006467AF" w:rsidRPr="00C05276" w:rsidRDefault="006467AF" w:rsidP="00C05276">
      <w:pPr>
        <w:pStyle w:val="a5"/>
        <w:numPr>
          <w:ilvl w:val="0"/>
          <w:numId w:val="6"/>
        </w:numPr>
        <w:spacing w:after="0" w:line="320" w:lineRule="exact"/>
        <w:ind w:leftChars="0"/>
        <w:jc w:val="both"/>
        <w:rPr>
          <w:rFonts w:ascii="新細明體" w:eastAsia="新細明體" w:hAnsi="新細明體" w:cs="Times New Roman"/>
          <w:sz w:val="24"/>
          <w:szCs w:val="24"/>
          <w:lang w:eastAsia="zh-TW"/>
        </w:rPr>
      </w:pPr>
      <w:r w:rsidRPr="00C05276">
        <w:rPr>
          <w:rFonts w:ascii="新細明體" w:eastAsia="新細明體" w:hAnsi="新細明體" w:cs="Times New Roman"/>
          <w:sz w:val="24"/>
          <w:szCs w:val="24"/>
          <w:lang w:eastAsia="zh-TW"/>
        </w:rPr>
        <w:t>當局亦應考慮設立工資津貼及交通費津貼予年長人士，以鼓勵他們持續投入勞動市場，以增加年長勞工的勞動參與率。</w:t>
      </w:r>
    </w:p>
    <w:p w:rsidR="006467AF" w:rsidRPr="00C05276" w:rsidRDefault="006467AF" w:rsidP="00C05276">
      <w:pPr>
        <w:spacing w:after="0" w:line="320" w:lineRule="exact"/>
        <w:jc w:val="both"/>
        <w:rPr>
          <w:rFonts w:ascii="新細明體" w:eastAsia="新細明體" w:hAnsi="新細明體" w:cs="Times New Roman"/>
          <w:sz w:val="24"/>
          <w:szCs w:val="24"/>
          <w:lang w:eastAsia="zh-TW"/>
        </w:rPr>
      </w:pPr>
    </w:p>
    <w:p w:rsidR="006467AF" w:rsidRPr="00C05276" w:rsidRDefault="006467AF" w:rsidP="00C05276">
      <w:pPr>
        <w:spacing w:after="0" w:line="320" w:lineRule="exact"/>
        <w:ind w:firstLine="720"/>
        <w:jc w:val="both"/>
        <w:rPr>
          <w:rStyle w:val="ae"/>
          <w:rFonts w:ascii="新細明體" w:eastAsia="新細明體" w:hAnsi="新細明體" w:cs="Times New Roman"/>
          <w:b w:val="0"/>
          <w:color w:val="000000"/>
          <w:sz w:val="24"/>
          <w:szCs w:val="24"/>
          <w:lang w:eastAsia="zh-TW"/>
        </w:rPr>
      </w:pPr>
      <w:r w:rsidRPr="00C05276">
        <w:rPr>
          <w:rStyle w:val="ae"/>
          <w:rFonts w:ascii="新細明體" w:eastAsia="新細明體" w:hAnsi="新細明體" w:cs="Times New Roman"/>
          <w:color w:val="000000"/>
          <w:sz w:val="24"/>
          <w:szCs w:val="24"/>
          <w:lang w:eastAsia="zh-TW"/>
        </w:rPr>
        <w:t>研究報告亦指出</w:t>
      </w:r>
      <w:r w:rsidR="009D316E">
        <w:rPr>
          <w:rStyle w:val="ae"/>
          <w:rFonts w:ascii="新細明體" w:eastAsia="新細明體" w:hAnsi="新細明體" w:cs="Times New Roman" w:hint="eastAsia"/>
          <w:color w:val="000000"/>
          <w:sz w:val="24"/>
          <w:szCs w:val="24"/>
          <w:lang w:eastAsia="zh-TW"/>
        </w:rPr>
        <w:t>，</w:t>
      </w:r>
      <w:r w:rsidRPr="00C05276">
        <w:rPr>
          <w:rStyle w:val="ae"/>
          <w:rFonts w:ascii="新細明體" w:eastAsia="新細明體" w:hAnsi="新細明體" w:cs="Times New Roman"/>
          <w:color w:val="000000"/>
          <w:sz w:val="24"/>
          <w:szCs w:val="24"/>
          <w:lang w:eastAsia="zh-TW"/>
        </w:rPr>
        <w:t>新加坡、日本、台灣及英國等地在消除年齡歧視的工作已取得顯著進展，並且在服務和法規上有較大程度改善，值得香港借鏡。例如：新加坡政府設立的分階段法定退休年齡機制、日本政府開設銀髮勞工服務中心，並為年長勞工提供就業津貼、台灣政府向年長勞工提供薪金及交通津貼，並設立個案管理系統，檢視年長勞工就業需要、英國</w:t>
      </w:r>
      <w:r w:rsidR="001A4BAD">
        <w:rPr>
          <w:rStyle w:val="ae"/>
          <w:rFonts w:ascii="新細明體" w:eastAsia="新細明體" w:hAnsi="新細明體" w:cs="Times New Roman" w:hint="eastAsia"/>
          <w:color w:val="000000"/>
          <w:sz w:val="24"/>
          <w:szCs w:val="24"/>
          <w:lang w:eastAsia="zh-TW"/>
        </w:rPr>
        <w:t>於</w:t>
      </w:r>
      <w:r w:rsidRPr="00C05276">
        <w:rPr>
          <w:rStyle w:val="ae"/>
          <w:rFonts w:ascii="新細明體" w:eastAsia="新細明體" w:hAnsi="新細明體" w:cs="Times New Roman"/>
          <w:color w:val="000000"/>
          <w:sz w:val="24"/>
          <w:szCs w:val="24"/>
          <w:lang w:eastAsia="zh-TW"/>
        </w:rPr>
        <w:t>2010年制訂的</w:t>
      </w:r>
      <w:r w:rsidR="001A4BAD">
        <w:rPr>
          <w:rStyle w:val="ae"/>
          <w:rFonts w:ascii="新細明體" w:eastAsia="新細明體" w:hAnsi="新細明體" w:cs="Times New Roman" w:hint="eastAsia"/>
          <w:color w:val="000000"/>
          <w:sz w:val="24"/>
          <w:szCs w:val="24"/>
          <w:lang w:eastAsia="zh-TW"/>
        </w:rPr>
        <w:t>《</w:t>
      </w:r>
      <w:r w:rsidRPr="00C05276">
        <w:rPr>
          <w:rStyle w:val="ae"/>
          <w:rFonts w:ascii="新細明體" w:eastAsia="新細明體" w:hAnsi="新細明體" w:cs="Times New Roman"/>
          <w:color w:val="000000"/>
          <w:sz w:val="24"/>
          <w:szCs w:val="24"/>
          <w:lang w:eastAsia="zh-TW"/>
        </w:rPr>
        <w:t>平等法令</w:t>
      </w:r>
      <w:r w:rsidR="001A4BAD">
        <w:rPr>
          <w:rStyle w:val="ae"/>
          <w:rFonts w:ascii="新細明體" w:eastAsia="新細明體" w:hAnsi="新細明體" w:cs="Times New Roman" w:hint="eastAsia"/>
          <w:color w:val="000000"/>
          <w:sz w:val="24"/>
          <w:szCs w:val="24"/>
          <w:lang w:eastAsia="zh-TW"/>
        </w:rPr>
        <w:t>》</w:t>
      </w:r>
      <w:r w:rsidRPr="00C05276">
        <w:rPr>
          <w:rStyle w:val="ae"/>
          <w:rFonts w:ascii="新細明體" w:eastAsia="新細明體" w:hAnsi="新細明體" w:cs="Times New Roman"/>
          <w:color w:val="000000"/>
          <w:sz w:val="24"/>
          <w:szCs w:val="24"/>
          <w:lang w:eastAsia="zh-TW"/>
        </w:rPr>
        <w:t>，已被僱員引用於法庭訴訟，成功挑戰僱主施以的年齡歧視行為。英國的僱主亦被賦予責任，為聘用已屆法定退休年齡</w:t>
      </w:r>
      <w:r w:rsidR="009D316E">
        <w:rPr>
          <w:rStyle w:val="ae"/>
          <w:rFonts w:ascii="新細明體" w:eastAsia="新細明體" w:hAnsi="新細明體" w:cs="Times New Roman" w:hint="eastAsia"/>
          <w:color w:val="000000"/>
          <w:sz w:val="24"/>
          <w:szCs w:val="24"/>
          <w:lang w:eastAsia="zh-TW"/>
        </w:rPr>
        <w:t>（</w:t>
      </w:r>
      <w:r w:rsidRPr="00C05276">
        <w:rPr>
          <w:rStyle w:val="ae"/>
          <w:rFonts w:ascii="新細明體" w:eastAsia="新細明體" w:hAnsi="新細明體" w:cs="Times New Roman"/>
          <w:color w:val="000000"/>
          <w:sz w:val="24"/>
          <w:szCs w:val="24"/>
          <w:lang w:eastAsia="zh-TW"/>
        </w:rPr>
        <w:t>即65歲以上</w:t>
      </w:r>
      <w:r w:rsidR="009D316E">
        <w:rPr>
          <w:rStyle w:val="ae"/>
          <w:rFonts w:ascii="新細明體" w:eastAsia="新細明體" w:hAnsi="新細明體" w:cs="Times New Roman" w:hint="eastAsia"/>
          <w:color w:val="000000"/>
          <w:sz w:val="24"/>
          <w:szCs w:val="24"/>
          <w:lang w:eastAsia="zh-TW"/>
        </w:rPr>
        <w:t>）</w:t>
      </w:r>
      <w:r w:rsidRPr="00C05276">
        <w:rPr>
          <w:rStyle w:val="ae"/>
          <w:rFonts w:ascii="新細明體" w:eastAsia="新細明體" w:hAnsi="新細明體" w:cs="Times New Roman"/>
          <w:color w:val="000000"/>
          <w:sz w:val="24"/>
          <w:szCs w:val="24"/>
          <w:lang w:eastAsia="zh-TW"/>
        </w:rPr>
        <w:t>的僱員，檢視其退休安排、以引入階段性的退休安排、鼓勵設立兼職、季節性職位、在家工作或彈性上班時間等措施，以配合不同年齡勞工的就業需要。</w:t>
      </w:r>
    </w:p>
    <w:p w:rsidR="006467AF" w:rsidRPr="00C05276" w:rsidRDefault="006467AF" w:rsidP="00C05276">
      <w:pPr>
        <w:spacing w:after="0" w:line="320" w:lineRule="exact"/>
        <w:jc w:val="both"/>
        <w:rPr>
          <w:rFonts w:ascii="新細明體" w:eastAsia="新細明體" w:hAnsi="新細明體" w:cs="Times New Roman"/>
          <w:sz w:val="24"/>
          <w:szCs w:val="24"/>
          <w:lang w:eastAsia="zh-TW"/>
        </w:rPr>
      </w:pPr>
    </w:p>
    <w:p w:rsidR="006467AF" w:rsidRPr="00C05276" w:rsidRDefault="006467AF" w:rsidP="00C05276">
      <w:pPr>
        <w:spacing w:after="0" w:line="320" w:lineRule="exact"/>
        <w:jc w:val="both"/>
        <w:rPr>
          <w:rFonts w:ascii="新細明體" w:eastAsia="新細明體" w:hAnsi="新細明體" w:cs="Times New Roman"/>
          <w:b/>
          <w:sz w:val="24"/>
          <w:szCs w:val="24"/>
          <w:lang w:eastAsia="zh-TW"/>
        </w:rPr>
      </w:pPr>
      <w:r w:rsidRPr="00C05276">
        <w:rPr>
          <w:rFonts w:ascii="新細明體" w:eastAsia="新細明體" w:hAnsi="新細明體" w:cs="Times New Roman"/>
          <w:b/>
          <w:sz w:val="24"/>
          <w:szCs w:val="24"/>
          <w:lang w:eastAsia="zh-TW"/>
        </w:rPr>
        <w:t xml:space="preserve">特區政府對立法禁止年齡歧視的立場 </w:t>
      </w:r>
    </w:p>
    <w:p w:rsidR="006467AF" w:rsidRPr="00C05276" w:rsidRDefault="006467AF" w:rsidP="00C05276">
      <w:pPr>
        <w:spacing w:after="0" w:line="320" w:lineRule="exact"/>
        <w:jc w:val="both"/>
        <w:rPr>
          <w:rFonts w:ascii="新細明體" w:eastAsia="新細明體" w:hAnsi="新細明體" w:cs="Times New Roman"/>
          <w:sz w:val="24"/>
          <w:szCs w:val="24"/>
          <w:lang w:eastAsia="zh-TW"/>
        </w:rPr>
      </w:pPr>
    </w:p>
    <w:p w:rsidR="006467AF" w:rsidRPr="00C05276" w:rsidRDefault="006467AF" w:rsidP="00C05276">
      <w:pPr>
        <w:spacing w:after="0" w:line="320" w:lineRule="exact"/>
        <w:ind w:firstLine="720"/>
        <w:jc w:val="both"/>
        <w:rPr>
          <w:rFonts w:ascii="新細明體" w:eastAsia="新細明體" w:hAnsi="新細明體" w:cs="Times New Roman"/>
          <w:bCs/>
          <w:color w:val="000000"/>
          <w:sz w:val="24"/>
          <w:szCs w:val="24"/>
          <w:lang w:eastAsia="zh-TW"/>
        </w:rPr>
      </w:pPr>
      <w:r w:rsidRPr="00C05276">
        <w:rPr>
          <w:rFonts w:ascii="新細明體" w:eastAsia="新細明體" w:hAnsi="新細明體" w:cs="Times New Roman"/>
          <w:sz w:val="24"/>
          <w:szCs w:val="24"/>
          <w:lang w:eastAsia="zh-TW"/>
        </w:rPr>
        <w:t>事實上，平機會先後於2012年及2016年進行類似研究，多年來一直呼籲當局就消除年齡歧視進行立法工作，然而，特區政府自1999年及2001年進行年齡歧視公眾研究，並於2006年由勞工處發出</w:t>
      </w:r>
      <w:r w:rsidR="001A4BAD">
        <w:rPr>
          <w:rFonts w:ascii="新細明體" w:eastAsia="新細明體" w:hAnsi="新細明體" w:cs="Times New Roman" w:hint="eastAsia"/>
          <w:sz w:val="24"/>
          <w:szCs w:val="24"/>
          <w:lang w:eastAsia="zh-TW"/>
        </w:rPr>
        <w:t>《</w:t>
      </w:r>
      <w:r w:rsidRPr="00C05276">
        <w:rPr>
          <w:rStyle w:val="ae"/>
          <w:rFonts w:ascii="新細明體" w:eastAsia="新細明體" w:hAnsi="新細明體" w:cs="Times New Roman"/>
          <w:color w:val="000000"/>
          <w:sz w:val="24"/>
          <w:szCs w:val="24"/>
          <w:lang w:eastAsia="zh-TW"/>
        </w:rPr>
        <w:t>僱傭實務指引</w:t>
      </w:r>
      <w:r w:rsidR="001A4BAD">
        <w:rPr>
          <w:rStyle w:val="ae"/>
          <w:rFonts w:ascii="新細明體" w:eastAsia="新細明體" w:hAnsi="新細明體" w:cs="Times New Roman" w:hint="eastAsia"/>
          <w:color w:val="000000"/>
          <w:sz w:val="24"/>
          <w:szCs w:val="24"/>
          <w:lang w:eastAsia="zh-TW"/>
        </w:rPr>
        <w:t>》</w:t>
      </w:r>
      <w:r w:rsidRPr="00C05276">
        <w:rPr>
          <w:rStyle w:val="ae"/>
          <w:rFonts w:ascii="新細明體" w:eastAsia="新細明體" w:hAnsi="新細明體" w:cs="Times New Roman"/>
          <w:color w:val="000000"/>
          <w:sz w:val="24"/>
          <w:szCs w:val="24"/>
          <w:lang w:eastAsia="zh-TW"/>
        </w:rPr>
        <w:t>後，立法工作無任何進展。香港回歸至今已近二十年，過去十多年本港年齡歧視立法工作</w:t>
      </w:r>
      <w:proofErr w:type="gramStart"/>
      <w:r w:rsidRPr="00C05276">
        <w:rPr>
          <w:rStyle w:val="ae"/>
          <w:rFonts w:ascii="新細明體" w:eastAsia="新細明體" w:hAnsi="新細明體" w:cs="Times New Roman"/>
          <w:color w:val="000000"/>
          <w:sz w:val="24"/>
          <w:szCs w:val="24"/>
          <w:lang w:eastAsia="zh-TW"/>
        </w:rPr>
        <w:t>竟了無寸進</w:t>
      </w:r>
      <w:proofErr w:type="gramEnd"/>
      <w:r w:rsidRPr="00C05276">
        <w:rPr>
          <w:rStyle w:val="ae"/>
          <w:rFonts w:ascii="新細明體" w:eastAsia="新細明體" w:hAnsi="新細明體" w:cs="Times New Roman"/>
          <w:color w:val="000000"/>
          <w:sz w:val="24"/>
          <w:szCs w:val="24"/>
          <w:lang w:eastAsia="zh-TW"/>
        </w:rPr>
        <w:t>！為此，</w:t>
      </w:r>
      <w:proofErr w:type="gramStart"/>
      <w:r w:rsidR="007B51E4" w:rsidRPr="00C05276">
        <w:rPr>
          <w:rStyle w:val="ae"/>
          <w:rFonts w:ascii="新細明體" w:eastAsia="新細明體" w:hAnsi="新細明體" w:cs="Times New Roman" w:hint="eastAsia"/>
          <w:color w:val="000000"/>
          <w:sz w:val="24"/>
          <w:szCs w:val="24"/>
          <w:lang w:eastAsia="zh-TW"/>
        </w:rPr>
        <w:t>社協</w:t>
      </w:r>
      <w:r w:rsidRPr="00C05276">
        <w:rPr>
          <w:rStyle w:val="ae"/>
          <w:rFonts w:ascii="新細明體" w:eastAsia="新細明體" w:hAnsi="新細明體" w:cs="Times New Roman"/>
          <w:color w:val="000000"/>
          <w:sz w:val="24"/>
          <w:szCs w:val="24"/>
          <w:lang w:eastAsia="zh-TW"/>
        </w:rPr>
        <w:t>於</w:t>
      </w:r>
      <w:proofErr w:type="gramEnd"/>
      <w:r w:rsidRPr="00C05276">
        <w:rPr>
          <w:rStyle w:val="ae"/>
          <w:rFonts w:ascii="新細明體" w:eastAsia="新細明體" w:hAnsi="新細明體" w:cs="Times New Roman"/>
          <w:color w:val="000000"/>
          <w:sz w:val="24"/>
          <w:szCs w:val="24"/>
          <w:lang w:eastAsia="zh-TW"/>
        </w:rPr>
        <w:t>本年2017年2月及4月期間先後</w:t>
      </w:r>
      <w:proofErr w:type="gramStart"/>
      <w:r w:rsidRPr="00C05276">
        <w:rPr>
          <w:rStyle w:val="ae"/>
          <w:rFonts w:ascii="新細明體" w:eastAsia="新細明體" w:hAnsi="新細明體" w:cs="Times New Roman"/>
          <w:color w:val="000000"/>
          <w:sz w:val="24"/>
          <w:szCs w:val="24"/>
          <w:lang w:eastAsia="zh-TW"/>
        </w:rPr>
        <w:t>去函政制</w:t>
      </w:r>
      <w:proofErr w:type="gramEnd"/>
      <w:r w:rsidRPr="00C05276">
        <w:rPr>
          <w:rStyle w:val="ae"/>
          <w:rFonts w:ascii="新細明體" w:eastAsia="新細明體" w:hAnsi="新細明體" w:cs="Times New Roman"/>
          <w:color w:val="000000"/>
          <w:sz w:val="24"/>
          <w:szCs w:val="24"/>
          <w:lang w:eastAsia="zh-TW"/>
        </w:rPr>
        <w:t>及內地事務局，</w:t>
      </w:r>
      <w:r w:rsidRPr="00C05276">
        <w:rPr>
          <w:rFonts w:ascii="新細明體" w:eastAsia="新細明體" w:hAnsi="新細明體" w:cs="Times New Roman"/>
          <w:sz w:val="24"/>
          <w:szCs w:val="24"/>
          <w:lang w:eastAsia="zh-TW"/>
        </w:rPr>
        <w:t>查詢當局就年齡歧視進行立法的立場。該局將查詢交予勞工處，將年齡歧視問題局限地理解為就業問題，忽略年齡歧視的廣泛性及全面性。事實上，年齡歧視在職場、乃至日常生活</w:t>
      </w:r>
      <w:proofErr w:type="gramStart"/>
      <w:r w:rsidRPr="00C05276">
        <w:rPr>
          <w:rFonts w:ascii="新細明體" w:eastAsia="新細明體" w:hAnsi="新細明體" w:cs="Times New Roman"/>
          <w:sz w:val="24"/>
          <w:szCs w:val="24"/>
          <w:lang w:eastAsia="zh-TW"/>
        </w:rPr>
        <w:t>等均會出現</w:t>
      </w:r>
      <w:proofErr w:type="gramEnd"/>
      <w:r w:rsidRPr="00C05276">
        <w:rPr>
          <w:rFonts w:ascii="新細明體" w:eastAsia="新細明體" w:hAnsi="新細明體" w:cs="Times New Roman"/>
          <w:sz w:val="24"/>
          <w:szCs w:val="24"/>
          <w:lang w:eastAsia="zh-TW"/>
        </w:rPr>
        <w:t>，當局理解過於狹隘。</w:t>
      </w:r>
    </w:p>
    <w:p w:rsidR="006467AF" w:rsidRPr="00C05276" w:rsidRDefault="006467AF" w:rsidP="00C05276">
      <w:pPr>
        <w:spacing w:after="0" w:line="320" w:lineRule="exact"/>
        <w:ind w:firstLine="720"/>
        <w:jc w:val="both"/>
        <w:rPr>
          <w:rFonts w:ascii="新細明體" w:eastAsia="新細明體" w:hAnsi="新細明體" w:cs="Times New Roman"/>
          <w:sz w:val="24"/>
          <w:szCs w:val="24"/>
          <w:lang w:eastAsia="zh-TW"/>
        </w:rPr>
      </w:pPr>
    </w:p>
    <w:p w:rsidR="006467AF" w:rsidRPr="00C05276" w:rsidRDefault="006467AF" w:rsidP="00C05276">
      <w:pPr>
        <w:spacing w:after="0" w:line="300" w:lineRule="exact"/>
        <w:ind w:left="80" w:rightChars="100" w:right="220" w:firstLine="280"/>
        <w:jc w:val="both"/>
        <w:rPr>
          <w:rStyle w:val="ae"/>
          <w:rFonts w:ascii="新細明體" w:eastAsia="新細明體" w:hAnsi="新細明體" w:cs="Times New Roman"/>
          <w:b w:val="0"/>
          <w:color w:val="000000"/>
          <w:sz w:val="24"/>
          <w:szCs w:val="24"/>
          <w:lang w:eastAsia="zh-TW"/>
        </w:rPr>
      </w:pPr>
    </w:p>
    <w:p w:rsidR="006467AF" w:rsidRPr="00C05276" w:rsidRDefault="006467AF" w:rsidP="00C05276">
      <w:pPr>
        <w:spacing w:after="0" w:line="300" w:lineRule="exact"/>
        <w:jc w:val="both"/>
        <w:rPr>
          <w:rFonts w:ascii="新細明體" w:eastAsia="新細明體" w:hAnsi="新細明體" w:cs="Times New Roman"/>
          <w:sz w:val="24"/>
          <w:szCs w:val="24"/>
          <w:lang w:eastAsia="zh-TW"/>
        </w:rPr>
      </w:pPr>
      <w:r w:rsidRPr="00C05276">
        <w:rPr>
          <w:rStyle w:val="ae"/>
          <w:rFonts w:ascii="新細明體" w:eastAsia="新細明體" w:hAnsi="新細明體" w:cs="Times New Roman"/>
          <w:color w:val="000000"/>
          <w:sz w:val="24"/>
          <w:szCs w:val="24"/>
          <w:lang w:eastAsia="zh-TW"/>
        </w:rPr>
        <w:t>建議</w:t>
      </w:r>
    </w:p>
    <w:p w:rsidR="006467AF" w:rsidRPr="00C05276" w:rsidRDefault="006467AF" w:rsidP="00C05276">
      <w:pPr>
        <w:spacing w:after="0" w:line="300" w:lineRule="exact"/>
        <w:ind w:firstLine="720"/>
        <w:jc w:val="both"/>
        <w:rPr>
          <w:rFonts w:ascii="新細明體" w:eastAsia="新細明體" w:hAnsi="新細明體" w:cs="Times New Roman"/>
          <w:sz w:val="24"/>
          <w:szCs w:val="24"/>
          <w:lang w:eastAsia="zh-TW"/>
        </w:rPr>
      </w:pPr>
    </w:p>
    <w:p w:rsidR="006467AF" w:rsidRPr="00C05276" w:rsidRDefault="006467AF" w:rsidP="00C05276">
      <w:pPr>
        <w:spacing w:after="0" w:line="300" w:lineRule="exact"/>
        <w:ind w:firstLine="720"/>
        <w:jc w:val="both"/>
        <w:rPr>
          <w:rFonts w:ascii="新細明體" w:eastAsia="新細明體" w:hAnsi="新細明體" w:cs="Times New Roman"/>
          <w:b/>
          <w:sz w:val="24"/>
          <w:szCs w:val="24"/>
          <w:lang w:eastAsia="zh-TW"/>
        </w:rPr>
      </w:pPr>
      <w:r w:rsidRPr="00C05276">
        <w:rPr>
          <w:rFonts w:ascii="新細明體" w:eastAsia="新細明體" w:hAnsi="新細明體" w:cs="Times New Roman"/>
          <w:sz w:val="24"/>
          <w:szCs w:val="24"/>
          <w:lang w:eastAsia="zh-TW"/>
        </w:rPr>
        <w:t>平機會作為致消除本港各種歧視、促進平等機會的機構，不僅應執行</w:t>
      </w:r>
      <w:proofErr w:type="gramStart"/>
      <w:r w:rsidRPr="00C05276">
        <w:rPr>
          <w:rFonts w:ascii="新細明體" w:eastAsia="新細明體" w:hAnsi="新細明體" w:cs="Times New Roman"/>
          <w:sz w:val="24"/>
          <w:szCs w:val="24"/>
          <w:lang w:eastAsia="zh-TW"/>
        </w:rPr>
        <w:t>本港反歧視</w:t>
      </w:r>
      <w:proofErr w:type="gramEnd"/>
      <w:r w:rsidRPr="00C05276">
        <w:rPr>
          <w:rFonts w:ascii="新細明體" w:eastAsia="新細明體" w:hAnsi="新細明體" w:cs="Times New Roman"/>
          <w:sz w:val="24"/>
          <w:szCs w:val="24"/>
          <w:lang w:eastAsia="zh-TW"/>
        </w:rPr>
        <w:t>條例，更應倡導各項反歧視的立法。基於以上情況，</w:t>
      </w:r>
      <w:proofErr w:type="gramStart"/>
      <w:r w:rsidR="001A4BAD">
        <w:rPr>
          <w:rFonts w:ascii="新細明體" w:eastAsia="新細明體" w:hAnsi="新細明體" w:cs="Times New Roman" w:hint="eastAsia"/>
          <w:b/>
          <w:sz w:val="24"/>
          <w:szCs w:val="24"/>
          <w:lang w:eastAsia="zh-TW"/>
        </w:rPr>
        <w:t>社協</w:t>
      </w:r>
      <w:r w:rsidRPr="00C05276">
        <w:rPr>
          <w:rFonts w:ascii="新細明體" w:eastAsia="新細明體" w:hAnsi="新細明體" w:cs="Times New Roman"/>
          <w:b/>
          <w:sz w:val="24"/>
          <w:szCs w:val="24"/>
          <w:lang w:eastAsia="zh-TW"/>
        </w:rPr>
        <w:t>促請</w:t>
      </w:r>
      <w:proofErr w:type="gramEnd"/>
      <w:r w:rsidRPr="00C05276">
        <w:rPr>
          <w:rFonts w:ascii="新細明體" w:eastAsia="新細明體" w:hAnsi="新細明體" w:cs="Times New Roman"/>
          <w:b/>
          <w:sz w:val="24"/>
          <w:szCs w:val="24"/>
          <w:lang w:eastAsia="zh-TW"/>
        </w:rPr>
        <w:t>平機會以更積極進取的方式，與民間團體攜手促請特區政府就年齡歧視進行立法工作</w:t>
      </w:r>
      <w:r w:rsidRPr="00C05276">
        <w:rPr>
          <w:rFonts w:ascii="新細明體" w:eastAsia="新細明體" w:hAnsi="新細明體" w:cs="Times New Roman" w:hint="eastAsia"/>
          <w:b/>
          <w:sz w:val="24"/>
          <w:szCs w:val="24"/>
          <w:lang w:eastAsia="zh-TW"/>
        </w:rPr>
        <w:t>，包括</w:t>
      </w:r>
      <w:r w:rsidR="001A4BAD">
        <w:rPr>
          <w:rFonts w:ascii="新細明體" w:eastAsia="新細明體" w:hAnsi="新細明體" w:cs="Times New Roman" w:hint="eastAsia"/>
          <w:b/>
          <w:sz w:val="24"/>
          <w:szCs w:val="24"/>
          <w:lang w:eastAsia="zh-TW"/>
        </w:rPr>
        <w:t>：</w:t>
      </w:r>
    </w:p>
    <w:p w:rsidR="006467AF" w:rsidRPr="00C05276" w:rsidRDefault="006467AF" w:rsidP="00C05276">
      <w:pPr>
        <w:spacing w:after="0" w:line="300" w:lineRule="exact"/>
        <w:jc w:val="both"/>
        <w:rPr>
          <w:rFonts w:ascii="新細明體" w:eastAsia="新細明體" w:hAnsi="新細明體" w:cs="Times New Roman"/>
          <w:b/>
          <w:sz w:val="24"/>
          <w:szCs w:val="24"/>
          <w:lang w:eastAsia="zh-TW"/>
        </w:rPr>
      </w:pPr>
    </w:p>
    <w:p w:rsidR="006467AF" w:rsidRPr="00C05276" w:rsidRDefault="006467AF" w:rsidP="00C05276">
      <w:pPr>
        <w:pStyle w:val="a5"/>
        <w:numPr>
          <w:ilvl w:val="0"/>
          <w:numId w:val="4"/>
        </w:numPr>
        <w:spacing w:after="0" w:line="300" w:lineRule="exact"/>
        <w:ind w:leftChars="0"/>
        <w:jc w:val="both"/>
        <w:rPr>
          <w:rStyle w:val="ae"/>
          <w:rFonts w:ascii="新細明體" w:eastAsia="新細明體" w:hAnsi="新細明體" w:cs="Times New Roman"/>
          <w:bCs w:val="0"/>
          <w:sz w:val="24"/>
          <w:szCs w:val="24"/>
          <w:lang w:eastAsia="zh-TW"/>
        </w:rPr>
      </w:pPr>
      <w:r w:rsidRPr="00C05276">
        <w:rPr>
          <w:rFonts w:ascii="新細明體" w:eastAsia="新細明體" w:hAnsi="新細明體" w:cs="Times New Roman" w:hint="eastAsia"/>
          <w:b/>
          <w:sz w:val="24"/>
          <w:szCs w:val="24"/>
          <w:lang w:eastAsia="zh-TW"/>
        </w:rPr>
        <w:t>定期展開調查研究，監察年齡歧視在本港就業市場、以及其他</w:t>
      </w:r>
      <w:r w:rsidRPr="00C05276">
        <w:rPr>
          <w:rStyle w:val="ae"/>
          <w:rFonts w:ascii="新細明體" w:eastAsia="新細明體" w:hAnsi="新細明體" w:cs="Times New Roman"/>
          <w:color w:val="000000"/>
          <w:sz w:val="24"/>
          <w:szCs w:val="24"/>
          <w:lang w:eastAsia="zh-TW"/>
        </w:rPr>
        <w:t>非</w:t>
      </w:r>
      <w:proofErr w:type="gramStart"/>
      <w:r w:rsidRPr="00C05276">
        <w:rPr>
          <w:rStyle w:val="ae"/>
          <w:rFonts w:ascii="新細明體" w:eastAsia="新細明體" w:hAnsi="新細明體" w:cs="Times New Roman"/>
          <w:color w:val="000000"/>
          <w:sz w:val="24"/>
          <w:szCs w:val="24"/>
          <w:lang w:eastAsia="zh-TW"/>
        </w:rPr>
        <w:t>僱傭</w:t>
      </w:r>
      <w:proofErr w:type="gramEnd"/>
      <w:r w:rsidRPr="00C05276">
        <w:rPr>
          <w:rStyle w:val="ae"/>
          <w:rFonts w:ascii="新細明體" w:eastAsia="新細明體" w:hAnsi="新細明體" w:cs="Times New Roman"/>
          <w:color w:val="000000"/>
          <w:sz w:val="24"/>
          <w:szCs w:val="24"/>
          <w:lang w:eastAsia="zh-TW"/>
        </w:rPr>
        <w:t>範圍，例如: 教育、接受或提供貨品、設施及服務、政府提供的公共服務、公共團體、會社的活動等等，更有助教育公眾人士</w:t>
      </w:r>
      <w:r w:rsidRPr="00C05276">
        <w:rPr>
          <w:rStyle w:val="ae"/>
          <w:rFonts w:ascii="新細明體" w:eastAsia="新細明體" w:hAnsi="新細明體" w:cs="Times New Roman" w:hint="eastAsia"/>
          <w:color w:val="000000"/>
          <w:sz w:val="24"/>
          <w:szCs w:val="24"/>
          <w:lang w:eastAsia="zh-TW"/>
        </w:rPr>
        <w:t>的情況。</w:t>
      </w:r>
    </w:p>
    <w:p w:rsidR="006467AF" w:rsidRPr="00C05276" w:rsidRDefault="006467AF" w:rsidP="00C05276">
      <w:pPr>
        <w:pStyle w:val="a5"/>
        <w:numPr>
          <w:ilvl w:val="0"/>
          <w:numId w:val="4"/>
        </w:numPr>
        <w:spacing w:after="0" w:line="300" w:lineRule="exact"/>
        <w:ind w:leftChars="0"/>
        <w:jc w:val="both"/>
        <w:rPr>
          <w:rFonts w:ascii="新細明體" w:eastAsia="新細明體" w:hAnsi="新細明體" w:cs="Times New Roman"/>
          <w:b/>
          <w:sz w:val="24"/>
          <w:szCs w:val="24"/>
          <w:lang w:eastAsia="zh-TW"/>
        </w:rPr>
      </w:pPr>
      <w:r w:rsidRPr="00C05276">
        <w:rPr>
          <w:rFonts w:ascii="新細明體" w:eastAsia="新細明體" w:hAnsi="新細明體" w:cs="Times New Roman" w:hint="eastAsia"/>
          <w:b/>
          <w:sz w:val="24"/>
          <w:szCs w:val="24"/>
          <w:lang w:eastAsia="zh-TW"/>
        </w:rPr>
        <w:t>定期與特區政府決策局會面，跟進就年齡歧視立法的進度。</w:t>
      </w:r>
    </w:p>
    <w:p w:rsidR="006467AF" w:rsidRPr="00C05276" w:rsidRDefault="006467AF" w:rsidP="00C05276">
      <w:pPr>
        <w:pStyle w:val="a5"/>
        <w:numPr>
          <w:ilvl w:val="0"/>
          <w:numId w:val="4"/>
        </w:numPr>
        <w:spacing w:after="0" w:line="300" w:lineRule="exact"/>
        <w:ind w:leftChars="0"/>
        <w:jc w:val="both"/>
        <w:rPr>
          <w:rFonts w:ascii="新細明體" w:eastAsia="新細明體" w:hAnsi="新細明體" w:cs="Times New Roman"/>
          <w:b/>
          <w:sz w:val="24"/>
          <w:szCs w:val="24"/>
          <w:lang w:eastAsia="zh-TW"/>
        </w:rPr>
      </w:pPr>
      <w:r w:rsidRPr="00C05276">
        <w:rPr>
          <w:rFonts w:ascii="新細明體" w:eastAsia="新細明體" w:hAnsi="新細明體" w:cs="Times New Roman" w:hint="eastAsia"/>
          <w:b/>
          <w:sz w:val="24"/>
          <w:szCs w:val="24"/>
          <w:lang w:eastAsia="zh-TW"/>
        </w:rPr>
        <w:t>定期發表文章，評價及推動本港立法禁止年齡歧視。</w:t>
      </w:r>
    </w:p>
    <w:p w:rsidR="006467AF" w:rsidRPr="00C05276" w:rsidRDefault="006467AF" w:rsidP="00C05276">
      <w:pPr>
        <w:pStyle w:val="a5"/>
        <w:numPr>
          <w:ilvl w:val="0"/>
          <w:numId w:val="4"/>
        </w:numPr>
        <w:spacing w:after="0" w:line="300" w:lineRule="exact"/>
        <w:ind w:leftChars="0"/>
        <w:jc w:val="both"/>
        <w:rPr>
          <w:rFonts w:ascii="新細明體" w:eastAsia="新細明體" w:hAnsi="新細明體" w:cs="Times New Roman"/>
          <w:b/>
          <w:sz w:val="24"/>
          <w:szCs w:val="24"/>
          <w:lang w:eastAsia="zh-TW"/>
        </w:rPr>
      </w:pPr>
      <w:r w:rsidRPr="00C05276">
        <w:rPr>
          <w:rFonts w:ascii="新細明體" w:eastAsia="新細明體" w:hAnsi="新細明體" w:cs="Times New Roman" w:hint="eastAsia"/>
          <w:b/>
          <w:sz w:val="24"/>
          <w:szCs w:val="24"/>
          <w:lang w:eastAsia="zh-TW"/>
        </w:rPr>
        <w:t>向聯合國提供人權報告書或緊急申訴，批評特區政府遲遲未就禁止年齡歧視進行立法。</w:t>
      </w:r>
    </w:p>
    <w:p w:rsidR="006467AF" w:rsidRDefault="006467AF" w:rsidP="00C070F5">
      <w:pPr>
        <w:jc w:val="both"/>
        <w:rPr>
          <w:rFonts w:eastAsia="新細明體"/>
          <w:sz w:val="24"/>
          <w:szCs w:val="24"/>
          <w:lang w:eastAsia="zh-TW"/>
        </w:rPr>
      </w:pPr>
    </w:p>
    <w:p w:rsidR="006467AF" w:rsidRDefault="006467AF" w:rsidP="00C070F5">
      <w:pPr>
        <w:jc w:val="both"/>
        <w:rPr>
          <w:rFonts w:eastAsia="新細明體"/>
          <w:sz w:val="24"/>
          <w:szCs w:val="24"/>
          <w:lang w:eastAsia="zh-TW"/>
        </w:rPr>
      </w:pPr>
    </w:p>
    <w:p w:rsidR="007B51E4" w:rsidRPr="00C05276" w:rsidRDefault="007B51E4" w:rsidP="00C070F5">
      <w:pPr>
        <w:jc w:val="both"/>
        <w:rPr>
          <w:rFonts w:eastAsia="新細明體"/>
          <w:b/>
          <w:sz w:val="28"/>
          <w:szCs w:val="28"/>
          <w:u w:val="single"/>
          <w:lang w:eastAsia="zh-TW"/>
        </w:rPr>
      </w:pPr>
      <w:r w:rsidRPr="00C05276">
        <w:rPr>
          <w:rFonts w:eastAsia="新細明體" w:hint="eastAsia"/>
          <w:b/>
          <w:sz w:val="28"/>
          <w:szCs w:val="28"/>
          <w:u w:val="single"/>
          <w:lang w:eastAsia="zh-TW"/>
        </w:rPr>
        <w:t>立法禁止對更生人士的就業歧視</w:t>
      </w:r>
    </w:p>
    <w:p w:rsidR="001A4BAD" w:rsidRDefault="00C05276" w:rsidP="009D316E">
      <w:pPr>
        <w:ind w:firstLine="720"/>
        <w:jc w:val="both"/>
        <w:rPr>
          <w:rFonts w:ascii="新細明體" w:eastAsia="新細明體" w:hAnsi="新細明體"/>
          <w:sz w:val="24"/>
          <w:szCs w:val="24"/>
          <w:lang w:eastAsia="zh-TW"/>
        </w:rPr>
      </w:pPr>
      <w:r w:rsidRPr="00C05276">
        <w:rPr>
          <w:rFonts w:ascii="新細明體" w:eastAsia="新細明體" w:hAnsi="新細明體" w:hint="eastAsia"/>
          <w:sz w:val="24"/>
          <w:szCs w:val="24"/>
          <w:lang w:eastAsia="zh-TW"/>
        </w:rPr>
        <w:t>現時，本港每年平均有超過10,000人次因觸犯刑事罪行而被判入獄</w:t>
      </w:r>
      <w:r w:rsidRPr="00C05276">
        <w:rPr>
          <w:rStyle w:val="ad"/>
          <w:rFonts w:ascii="新細明體" w:eastAsia="新細明體" w:hAnsi="新細明體"/>
          <w:sz w:val="24"/>
          <w:szCs w:val="24"/>
        </w:rPr>
        <w:footnoteReference w:id="5"/>
      </w:r>
      <w:r w:rsidRPr="00C05276">
        <w:rPr>
          <w:rFonts w:ascii="新細明體" w:eastAsia="新細明體" w:hAnsi="新細明體" w:hint="eastAsia"/>
          <w:sz w:val="24"/>
          <w:szCs w:val="24"/>
          <w:lang w:eastAsia="zh-TW"/>
        </w:rPr>
        <w:t>，而估計每年同樣有超過10,</w:t>
      </w:r>
      <w:proofErr w:type="gramStart"/>
      <w:r w:rsidRPr="00C05276">
        <w:rPr>
          <w:rFonts w:ascii="新細明體" w:eastAsia="新細明體" w:hAnsi="新細明體" w:hint="eastAsia"/>
          <w:sz w:val="24"/>
          <w:szCs w:val="24"/>
          <w:lang w:eastAsia="zh-TW"/>
        </w:rPr>
        <w:t>000人次刑滿</w:t>
      </w:r>
      <w:proofErr w:type="gramEnd"/>
      <w:r w:rsidRPr="00C05276">
        <w:rPr>
          <w:rFonts w:ascii="新細明體" w:eastAsia="新細明體" w:hAnsi="新細明體" w:hint="eastAsia"/>
          <w:sz w:val="24"/>
          <w:szCs w:val="24"/>
          <w:lang w:eastAsia="zh-TW"/>
        </w:rPr>
        <w:t>離開監獄成為更生人士</w:t>
      </w:r>
      <w:r w:rsidRPr="00C05276">
        <w:rPr>
          <w:rStyle w:val="ad"/>
          <w:rFonts w:ascii="新細明體" w:eastAsia="新細明體" w:hAnsi="新細明體"/>
          <w:sz w:val="24"/>
          <w:szCs w:val="24"/>
        </w:rPr>
        <w:footnoteReference w:id="6"/>
      </w:r>
      <w:r w:rsidRPr="00C05276">
        <w:rPr>
          <w:rFonts w:ascii="新細明體" w:eastAsia="新細明體" w:hAnsi="新細明體" w:hint="eastAsia"/>
          <w:sz w:val="24"/>
          <w:szCs w:val="24"/>
          <w:lang w:eastAsia="zh-TW"/>
        </w:rPr>
        <w:t>。更生人士重投社會後的就業困難及存在的障礙，值得關注。</w:t>
      </w:r>
    </w:p>
    <w:p w:rsidR="00C05276" w:rsidRPr="00C05276" w:rsidRDefault="00C05276" w:rsidP="009D316E">
      <w:pPr>
        <w:ind w:firstLine="72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更生人士面對就業方面的障礙，不僅是在香港這地方出現，而是全世界不同國家、不同地區均面對的問題；而在近十多二十年，愈來愈多國家及地區開始重視有關問題及提出相關的建議措施以作改善。</w:t>
      </w:r>
    </w:p>
    <w:p w:rsidR="00C05276" w:rsidRPr="00C05276" w:rsidRDefault="00C05276" w:rsidP="00C05276">
      <w:pPr>
        <w:jc w:val="both"/>
        <w:rPr>
          <w:rFonts w:ascii="新細明體" w:eastAsia="新細明體" w:hAnsi="新細明體"/>
          <w:sz w:val="24"/>
          <w:szCs w:val="24"/>
          <w:lang w:eastAsia="zh-TW"/>
        </w:rPr>
      </w:pPr>
    </w:p>
    <w:p w:rsidR="00C05276" w:rsidRPr="00C05276" w:rsidRDefault="00C05276" w:rsidP="00C05276">
      <w:pPr>
        <w:ind w:left="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總體來說，更生人士就業障礙的主因有</w:t>
      </w:r>
      <w:proofErr w:type="gramStart"/>
      <w:r w:rsidRPr="00C05276">
        <w:rPr>
          <w:rFonts w:ascii="新細明體" w:eastAsia="新細明體" w:hAnsi="新細明體"/>
          <w:sz w:val="24"/>
          <w:szCs w:val="24"/>
          <w:lang w:eastAsia="zh-TW"/>
        </w:rPr>
        <w:t>三</w:t>
      </w:r>
      <w:proofErr w:type="gramEnd"/>
      <w:r w:rsidRPr="00C05276">
        <w:rPr>
          <w:rFonts w:ascii="新細明體" w:eastAsia="新細明體" w:hAnsi="新細明體"/>
          <w:sz w:val="24"/>
          <w:szCs w:val="24"/>
          <w:lang w:eastAsia="zh-TW"/>
        </w:rPr>
        <w:t>：</w:t>
      </w:r>
    </w:p>
    <w:p w:rsidR="00C05276" w:rsidRPr="00C05276" w:rsidRDefault="00C05276" w:rsidP="00C05276">
      <w:pPr>
        <w:ind w:left="480"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一、社會上普遍對更生人士就業存在歧視；</w:t>
      </w:r>
    </w:p>
    <w:p w:rsidR="00C05276" w:rsidRPr="00C05276" w:rsidRDefault="00C05276" w:rsidP="00C05276">
      <w:pPr>
        <w:ind w:left="480"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二、更生人士在獲釋後往往缺乏足夠學歷及技術以融入就業市場；及</w:t>
      </w:r>
    </w:p>
    <w:p w:rsidR="00C05276" w:rsidRPr="00C05276" w:rsidRDefault="00C05276" w:rsidP="00C05276">
      <w:pPr>
        <w:ind w:left="480"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三、政府未有提供足夠的支援使更生人士能儘快融入主流社會。</w:t>
      </w:r>
    </w:p>
    <w:p w:rsidR="00C05276" w:rsidRPr="00C05276" w:rsidRDefault="00C05276" w:rsidP="00C05276">
      <w:pPr>
        <w:ind w:firstLine="480"/>
        <w:jc w:val="both"/>
        <w:rPr>
          <w:rFonts w:ascii="新細明體" w:eastAsia="新細明體" w:hAnsi="新細明體"/>
          <w:sz w:val="24"/>
          <w:szCs w:val="24"/>
          <w:lang w:eastAsia="zh-TW"/>
        </w:rPr>
      </w:pP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首先，外國不少前進國家的資料顯示，約20%成年人口曾有犯案紀錄；例如，英國研究顯示約有25%工作人口過往曾有犯罪紀錄</w:t>
      </w:r>
      <w:r w:rsidRPr="00C05276">
        <w:rPr>
          <w:rStyle w:val="ad"/>
          <w:rFonts w:ascii="新細明體" w:eastAsia="新細明體" w:hAnsi="新細明體"/>
          <w:sz w:val="24"/>
          <w:szCs w:val="24"/>
        </w:rPr>
        <w:footnoteReference w:id="7"/>
      </w:r>
      <w:r w:rsidRPr="00C05276">
        <w:rPr>
          <w:rFonts w:ascii="新細明體" w:eastAsia="新細明體" w:hAnsi="新細明體"/>
          <w:sz w:val="24"/>
          <w:szCs w:val="24"/>
          <w:lang w:eastAsia="zh-TW"/>
        </w:rPr>
        <w:t>，美國亦有犯罪學家曾估計約有20-25%的年青男性在其18歲以前曾有犯罪紀錄，加拿大則有研究結果顯示15-19歲人口中約有25%曾經犯罪</w:t>
      </w:r>
      <w:r w:rsidRPr="00C05276">
        <w:rPr>
          <w:rStyle w:val="ad"/>
          <w:rFonts w:ascii="新細明體" w:eastAsia="新細明體" w:hAnsi="新細明體"/>
          <w:sz w:val="24"/>
          <w:szCs w:val="24"/>
        </w:rPr>
        <w:footnoteReference w:id="8"/>
      </w:r>
      <w:r w:rsidRPr="00C05276">
        <w:rPr>
          <w:rFonts w:ascii="新細明體" w:eastAsia="新細明體" w:hAnsi="新細明體"/>
          <w:sz w:val="24"/>
          <w:szCs w:val="24"/>
          <w:lang w:eastAsia="zh-TW"/>
        </w:rPr>
        <w:t>。因此，曾經犯罪的更生人士在就業範疇面對的歧視及其它就業障礙，影響人數及層面是相當大的；社會長期不予正視，都各方面都不利。</w:t>
      </w:r>
    </w:p>
    <w:p w:rsidR="00C05276" w:rsidRPr="00C05276" w:rsidRDefault="00C05276" w:rsidP="00C05276">
      <w:pPr>
        <w:ind w:firstLineChars="200" w:firstLine="480"/>
        <w:jc w:val="both"/>
        <w:rPr>
          <w:rFonts w:ascii="新細明體" w:eastAsia="新細明體" w:hAnsi="新細明體"/>
          <w:sz w:val="24"/>
          <w:szCs w:val="24"/>
          <w:lang w:eastAsia="zh-TW"/>
        </w:rPr>
      </w:pP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第二，更生人士在就業時面對因為其曾經有「案底」而遭到歧視，這對他們是不公平的，變相成為</w:t>
      </w:r>
      <w:proofErr w:type="gramStart"/>
      <w:r w:rsidRPr="00C05276">
        <w:rPr>
          <w:rFonts w:ascii="新細明體" w:eastAsia="新細明體" w:hAnsi="新細明體"/>
          <w:sz w:val="24"/>
          <w:szCs w:val="24"/>
          <w:lang w:eastAsia="zh-TW"/>
        </w:rPr>
        <w:t>其犯事被</w:t>
      </w:r>
      <w:proofErr w:type="gramEnd"/>
      <w:r w:rsidRPr="00C05276">
        <w:rPr>
          <w:rFonts w:ascii="新細明體" w:eastAsia="新細明體" w:hAnsi="新細明體"/>
          <w:sz w:val="24"/>
          <w:szCs w:val="24"/>
          <w:lang w:eastAsia="zh-TW"/>
        </w:rPr>
        <w:t>法庭判</w:t>
      </w:r>
      <w:proofErr w:type="gramStart"/>
      <w:r w:rsidRPr="00C05276">
        <w:rPr>
          <w:rFonts w:ascii="新細明體" w:eastAsia="新細明體" w:hAnsi="新細明體"/>
          <w:sz w:val="24"/>
          <w:szCs w:val="24"/>
          <w:lang w:eastAsia="zh-TW"/>
        </w:rPr>
        <w:t>罰與判監</w:t>
      </w:r>
      <w:proofErr w:type="gramEnd"/>
      <w:r w:rsidRPr="00C05276">
        <w:rPr>
          <w:rFonts w:ascii="新細明體" w:eastAsia="新細明體" w:hAnsi="新細明體"/>
          <w:sz w:val="24"/>
          <w:szCs w:val="24"/>
          <w:lang w:eastAsia="zh-TW"/>
        </w:rPr>
        <w:t>以外的「雙重懲罰」；事實上，與其他形式的不合理歧視一樣，當兩名求職者的其他工作能力相近，但</w:t>
      </w:r>
      <w:r w:rsidRPr="00C05276">
        <w:rPr>
          <w:rFonts w:ascii="新細明體" w:eastAsia="新細明體" w:hAnsi="新細明體" w:hint="eastAsia"/>
          <w:sz w:val="24"/>
          <w:szCs w:val="24"/>
          <w:lang w:eastAsia="zh-TW"/>
        </w:rPr>
        <w:t>僱</w:t>
      </w:r>
      <w:r w:rsidRPr="00C05276">
        <w:rPr>
          <w:rFonts w:ascii="新細明體" w:eastAsia="新細明體" w:hAnsi="新細明體"/>
          <w:sz w:val="24"/>
          <w:szCs w:val="24"/>
          <w:lang w:eastAsia="zh-TW"/>
        </w:rPr>
        <w:t>主卻以其中一人有「案底」而不予雇用，不但對有關求職者不公平，也不能做到「人盡其才」。</w:t>
      </w:r>
    </w:p>
    <w:p w:rsidR="00C05276" w:rsidRPr="00C05276" w:rsidRDefault="00C05276" w:rsidP="00C05276">
      <w:pPr>
        <w:ind w:firstLineChars="200" w:firstLine="480"/>
        <w:jc w:val="both"/>
        <w:rPr>
          <w:rFonts w:ascii="新細明體" w:eastAsia="新細明體" w:hAnsi="新細明體"/>
          <w:sz w:val="24"/>
          <w:szCs w:val="24"/>
          <w:lang w:eastAsia="zh-TW"/>
        </w:rPr>
      </w:pP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第三，從社會整體利益角度看，近年已有愈來愈多研究結果，確認打破更生人士就業障礙、促使他們重投正當的勞動市場，對減低有關人士再犯罪的可能性（即重犯率）有重大幫助；英國的研究便曾指出，就業有助減低更生人士重犯機會達三分之一至二分之一</w:t>
      </w:r>
      <w:r w:rsidRPr="00C05276">
        <w:rPr>
          <w:rStyle w:val="ad"/>
          <w:rFonts w:ascii="新細明體" w:eastAsia="新細明體" w:hAnsi="新細明體"/>
          <w:sz w:val="24"/>
          <w:szCs w:val="24"/>
        </w:rPr>
        <w:footnoteReference w:id="9"/>
      </w:r>
      <w:r w:rsidRPr="00C05276">
        <w:rPr>
          <w:rFonts w:ascii="新細明體" w:eastAsia="新細明體" w:hAnsi="新細明體"/>
          <w:sz w:val="24"/>
          <w:szCs w:val="24"/>
          <w:lang w:eastAsia="zh-TW"/>
        </w:rPr>
        <w:t>。可以想見，給予更生人士更多就業機會，對減低整體犯罪率以締造更安全的社會，是有重大意義的。</w:t>
      </w:r>
    </w:p>
    <w:p w:rsidR="00C05276" w:rsidRPr="00C05276" w:rsidRDefault="00C05276" w:rsidP="00C05276">
      <w:pPr>
        <w:jc w:val="both"/>
        <w:rPr>
          <w:rFonts w:ascii="新細明體" w:eastAsia="新細明體" w:hAnsi="新細明體"/>
          <w:sz w:val="24"/>
          <w:szCs w:val="24"/>
          <w:lang w:eastAsia="zh-TW"/>
        </w:rPr>
      </w:pP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lastRenderedPageBreak/>
        <w:t>第四，從政府資源分配的角度看，近年外國亦有不少研究指出，政府與其不斷投入資源去防止犯罪、處理不斷增加的刑事訴訟資源及監獄開支，不如將更多資源改投放在給予在囚人士更生機會（特別是就業方面的支持）以減低重犯率，是更具社會效益</w:t>
      </w:r>
      <w:r w:rsidRPr="00C05276">
        <w:rPr>
          <w:rStyle w:val="ad"/>
          <w:rFonts w:ascii="新細明體" w:eastAsia="新細明體" w:hAnsi="新細明體"/>
          <w:sz w:val="24"/>
          <w:szCs w:val="24"/>
        </w:rPr>
        <w:footnoteReference w:id="10"/>
      </w:r>
      <w:r w:rsidRPr="00C05276">
        <w:rPr>
          <w:rFonts w:ascii="新細明體" w:eastAsia="新細明體" w:hAnsi="新細明體"/>
          <w:sz w:val="24"/>
          <w:szCs w:val="24"/>
          <w:lang w:eastAsia="zh-TW"/>
        </w:rPr>
        <w:t>。英國於2005年一份官方報告書亦指出，如一名更生人士再犯罪，處理有關刑事訴訟程式（至法庭定罪而作出監禁前）的成本已平均需65,000英鎊，再加上每年用於有關在囚人士的監獄開支需約37,500英鎊，這還未計及社會因此需付出的其他成本</w:t>
      </w:r>
      <w:r w:rsidRPr="00C05276">
        <w:rPr>
          <w:rStyle w:val="ad"/>
          <w:rFonts w:ascii="新細明體" w:eastAsia="新細明體" w:hAnsi="新細明體"/>
          <w:sz w:val="24"/>
          <w:szCs w:val="24"/>
        </w:rPr>
        <w:footnoteReference w:id="11"/>
      </w:r>
      <w:r w:rsidRPr="00C05276">
        <w:rPr>
          <w:rFonts w:ascii="新細明體" w:eastAsia="新細明體" w:hAnsi="新細明體"/>
          <w:sz w:val="24"/>
          <w:szCs w:val="24"/>
          <w:lang w:eastAsia="zh-TW"/>
        </w:rPr>
        <w:t>；如按英國的數額推算，香港因要處理一名更生人士再犯罪而引申的政府開支估計每年超過100萬港元</w:t>
      </w:r>
      <w:r w:rsidRPr="00C05276">
        <w:rPr>
          <w:rStyle w:val="ad"/>
          <w:rFonts w:ascii="新細明體" w:eastAsia="新細明體" w:hAnsi="新細明體"/>
          <w:sz w:val="24"/>
          <w:szCs w:val="24"/>
        </w:rPr>
        <w:footnoteReference w:id="12"/>
      </w:r>
      <w:r w:rsidRPr="00C05276">
        <w:rPr>
          <w:rFonts w:ascii="新細明體" w:eastAsia="新細明體" w:hAnsi="新細明體"/>
          <w:sz w:val="24"/>
          <w:szCs w:val="24"/>
          <w:lang w:eastAsia="zh-TW"/>
        </w:rPr>
        <w:t>，如將部分有關資源改投放在更生及促進就業工作中，成本效益及社會效益是十分明顯的。</w:t>
      </w:r>
    </w:p>
    <w:p w:rsidR="00C05276" w:rsidRPr="00C05276" w:rsidRDefault="00C05276" w:rsidP="00C05276">
      <w:pPr>
        <w:ind w:firstLineChars="200" w:firstLine="480"/>
        <w:jc w:val="both"/>
        <w:rPr>
          <w:rFonts w:ascii="新細明體" w:eastAsia="新細明體" w:hAnsi="新細明體"/>
          <w:sz w:val="24"/>
          <w:szCs w:val="24"/>
          <w:lang w:eastAsia="zh-TW"/>
        </w:rPr>
      </w:pP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第五，包括香港在內的世界上大多數發達城市，有關市民已愈來愈認識對於曾犯罪甚至因而被</w:t>
      </w:r>
      <w:proofErr w:type="gramStart"/>
      <w:r w:rsidRPr="00C05276">
        <w:rPr>
          <w:rFonts w:ascii="新細明體" w:eastAsia="新細明體" w:hAnsi="新細明體"/>
          <w:sz w:val="24"/>
          <w:szCs w:val="24"/>
          <w:lang w:eastAsia="zh-TW"/>
        </w:rPr>
        <w:t>被</w:t>
      </w:r>
      <w:proofErr w:type="gramEnd"/>
      <w:r w:rsidRPr="00C05276">
        <w:rPr>
          <w:rFonts w:ascii="新細明體" w:eastAsia="新細明體" w:hAnsi="新細明體"/>
          <w:sz w:val="24"/>
          <w:szCs w:val="24"/>
          <w:lang w:eastAsia="zh-TW"/>
        </w:rPr>
        <w:t>判入獄的人士，協助他們更生以重新融入社會，較對他們作出懲罰的意義為大</w:t>
      </w:r>
      <w:r w:rsidRPr="00C05276">
        <w:rPr>
          <w:rStyle w:val="ad"/>
          <w:rFonts w:ascii="新細明體" w:eastAsia="新細明體" w:hAnsi="新細明體"/>
          <w:sz w:val="24"/>
          <w:szCs w:val="24"/>
        </w:rPr>
        <w:footnoteReference w:id="13"/>
      </w:r>
      <w:r w:rsidRPr="00C05276">
        <w:rPr>
          <w:rFonts w:ascii="新細明體" w:eastAsia="新細明體" w:hAnsi="新細明體"/>
          <w:sz w:val="24"/>
          <w:szCs w:val="24"/>
          <w:lang w:eastAsia="zh-TW"/>
        </w:rPr>
        <w:t>。美國便有調查顯示，近九成公眾較傾向認為對在囚人士給予更生服務較之監獄作為懲罰制度為重要，此亦有八成以上公眾認為缺乏職業訓練是防止在囚人士獲釋後再犯罪的主要障礙</w:t>
      </w:r>
      <w:r w:rsidRPr="00C05276">
        <w:rPr>
          <w:rStyle w:val="ad"/>
          <w:rFonts w:ascii="新細明體" w:eastAsia="新細明體" w:hAnsi="新細明體"/>
          <w:sz w:val="24"/>
          <w:szCs w:val="24"/>
        </w:rPr>
        <w:footnoteReference w:id="14"/>
      </w:r>
      <w:r w:rsidRPr="00C05276">
        <w:rPr>
          <w:rFonts w:ascii="新細明體" w:eastAsia="新細明體" w:hAnsi="新細明體"/>
          <w:sz w:val="24"/>
          <w:szCs w:val="24"/>
          <w:lang w:eastAsia="zh-TW"/>
        </w:rPr>
        <w:t>。</w:t>
      </w:r>
    </w:p>
    <w:p w:rsidR="00C05276" w:rsidRPr="00C05276" w:rsidRDefault="00C05276" w:rsidP="00C05276">
      <w:pPr>
        <w:jc w:val="both"/>
        <w:rPr>
          <w:rFonts w:ascii="新細明體" w:eastAsia="新細明體" w:hAnsi="新細明體"/>
          <w:sz w:val="24"/>
          <w:szCs w:val="24"/>
          <w:lang w:eastAsia="zh-TW"/>
        </w:rPr>
      </w:pP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基於以上五點，</w:t>
      </w:r>
      <w:proofErr w:type="gramStart"/>
      <w:r w:rsidRPr="00C05276">
        <w:rPr>
          <w:rFonts w:ascii="新細明體" w:eastAsia="新細明體" w:hAnsi="新細明體" w:hint="eastAsia"/>
          <w:sz w:val="24"/>
          <w:szCs w:val="24"/>
          <w:lang w:eastAsia="zh-TW"/>
        </w:rPr>
        <w:t>社協</w:t>
      </w:r>
      <w:r w:rsidRPr="00C05276">
        <w:rPr>
          <w:rFonts w:ascii="新細明體" w:eastAsia="新細明體" w:hAnsi="新細明體"/>
          <w:sz w:val="24"/>
          <w:szCs w:val="24"/>
          <w:lang w:eastAsia="zh-TW"/>
        </w:rPr>
        <w:t>認為</w:t>
      </w:r>
      <w:proofErr w:type="gramEnd"/>
      <w:r w:rsidRPr="00C05276">
        <w:rPr>
          <w:rFonts w:ascii="新細明體" w:eastAsia="新細明體" w:hAnsi="新細明體"/>
          <w:sz w:val="24"/>
          <w:szCs w:val="24"/>
          <w:lang w:eastAsia="zh-TW"/>
        </w:rPr>
        <w:t>打破更生人士就業障礙，對更生人士本身以至整個社會</w:t>
      </w:r>
      <w:proofErr w:type="gramStart"/>
      <w:r w:rsidRPr="00C05276">
        <w:rPr>
          <w:rFonts w:ascii="新細明體" w:eastAsia="新細明體" w:hAnsi="新細明體"/>
          <w:sz w:val="24"/>
          <w:szCs w:val="24"/>
          <w:lang w:eastAsia="zh-TW"/>
        </w:rPr>
        <w:t>來說都有</w:t>
      </w:r>
      <w:proofErr w:type="gramEnd"/>
      <w:r w:rsidRPr="00C05276">
        <w:rPr>
          <w:rFonts w:ascii="新細明體" w:eastAsia="新細明體" w:hAnsi="新細明體"/>
          <w:sz w:val="24"/>
          <w:szCs w:val="24"/>
          <w:lang w:eastAsia="zh-TW"/>
        </w:rPr>
        <w:t>非常正面的意義，而政府亦有必要從立法、政策以及資源分配等方面著手作出實質改善。</w:t>
      </w:r>
    </w:p>
    <w:p w:rsidR="00C05276" w:rsidRPr="00C05276" w:rsidRDefault="00C05276" w:rsidP="00C05276">
      <w:pPr>
        <w:jc w:val="both"/>
        <w:rPr>
          <w:rFonts w:ascii="新細明體" w:eastAsia="新細明體" w:hAnsi="新細明體"/>
          <w:b/>
          <w:sz w:val="24"/>
          <w:szCs w:val="24"/>
          <w:lang w:eastAsia="zh-TW"/>
        </w:rPr>
      </w:pPr>
    </w:p>
    <w:p w:rsidR="00C05276" w:rsidRPr="00C05276" w:rsidRDefault="00C05276" w:rsidP="00C05276">
      <w:pPr>
        <w:jc w:val="both"/>
        <w:rPr>
          <w:rFonts w:ascii="新細明體" w:eastAsia="新細明體" w:hAnsi="新細明體"/>
          <w:b/>
          <w:sz w:val="24"/>
          <w:szCs w:val="24"/>
          <w:lang w:eastAsia="zh-TW"/>
        </w:rPr>
      </w:pPr>
      <w:r w:rsidRPr="00C05276">
        <w:rPr>
          <w:rFonts w:ascii="新細明體" w:eastAsia="新細明體" w:hAnsi="新細明體"/>
          <w:b/>
          <w:sz w:val="24"/>
          <w:szCs w:val="24"/>
          <w:lang w:eastAsia="zh-TW"/>
        </w:rPr>
        <w:t>更生人士就業歧視</w:t>
      </w: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目前香港並未有立法，以保障更生人士不會因為其「案底」（刑事紀錄）而在就業方面遭到歧視性的不合理對待。事實上，</w:t>
      </w:r>
      <w:proofErr w:type="gramStart"/>
      <w:r w:rsidRPr="00C05276">
        <w:rPr>
          <w:rFonts w:ascii="新細明體" w:eastAsia="新細明體" w:hAnsi="新細明體" w:hint="eastAsia"/>
          <w:sz w:val="24"/>
          <w:szCs w:val="24"/>
          <w:lang w:eastAsia="zh-TW"/>
        </w:rPr>
        <w:t>社協過往</w:t>
      </w:r>
      <w:proofErr w:type="gramEnd"/>
      <w:r w:rsidRPr="00C05276">
        <w:rPr>
          <w:rFonts w:ascii="新細明體" w:eastAsia="新細明體" w:hAnsi="新細明體"/>
          <w:sz w:val="24"/>
          <w:szCs w:val="24"/>
          <w:lang w:eastAsia="zh-TW"/>
        </w:rPr>
        <w:t>所</w:t>
      </w:r>
      <w:r w:rsidRPr="00C05276">
        <w:rPr>
          <w:rFonts w:ascii="新細明體" w:eastAsia="新細明體" w:hAnsi="新細明體" w:hint="eastAsia"/>
          <w:sz w:val="24"/>
          <w:szCs w:val="24"/>
          <w:lang w:eastAsia="zh-TW"/>
        </w:rPr>
        <w:t>進行</w:t>
      </w:r>
      <w:r w:rsidRPr="00C05276">
        <w:rPr>
          <w:rFonts w:ascii="新細明體" w:eastAsia="新細明體" w:hAnsi="新細明體"/>
          <w:sz w:val="24"/>
          <w:szCs w:val="24"/>
          <w:lang w:eastAsia="zh-TW"/>
        </w:rPr>
        <w:t>的調查結果</w:t>
      </w:r>
      <w:r w:rsidRPr="00C05276">
        <w:rPr>
          <w:rFonts w:ascii="新細明體" w:eastAsia="新細明體" w:hAnsi="新細明體" w:hint="eastAsia"/>
          <w:sz w:val="24"/>
          <w:szCs w:val="24"/>
          <w:lang w:eastAsia="zh-TW"/>
        </w:rPr>
        <w:t>均</w:t>
      </w:r>
      <w:r w:rsidRPr="00C05276">
        <w:rPr>
          <w:rFonts w:ascii="新細明體" w:eastAsia="新細明體" w:hAnsi="新細明體"/>
          <w:sz w:val="24"/>
          <w:szCs w:val="24"/>
          <w:lang w:eastAsia="zh-TW"/>
        </w:rPr>
        <w:t>顯示，更生人士在就業方面（特別是在求職時）往往遭到歧視，包括不少</w:t>
      </w:r>
      <w:r w:rsidRPr="00C05276">
        <w:rPr>
          <w:rFonts w:ascii="新細明體" w:eastAsia="新細明體" w:hAnsi="新細明體" w:hint="eastAsia"/>
          <w:sz w:val="24"/>
          <w:szCs w:val="24"/>
          <w:lang w:eastAsia="zh-TW"/>
        </w:rPr>
        <w:t>僱</w:t>
      </w:r>
      <w:r w:rsidRPr="00C05276">
        <w:rPr>
          <w:rFonts w:ascii="新細明體" w:eastAsia="新細明體" w:hAnsi="新細明體"/>
          <w:sz w:val="24"/>
          <w:szCs w:val="24"/>
          <w:lang w:eastAsia="zh-TW"/>
        </w:rPr>
        <w:t>主不管是否真有必要</w:t>
      </w:r>
      <w:r w:rsidRPr="00C05276">
        <w:rPr>
          <w:rFonts w:ascii="新細明體" w:eastAsia="新細明體" w:hAnsi="新細明體" w:hint="eastAsia"/>
          <w:sz w:val="24"/>
          <w:szCs w:val="24"/>
          <w:lang w:eastAsia="zh-TW"/>
        </w:rPr>
        <w:t>也</w:t>
      </w:r>
      <w:r w:rsidRPr="00C05276">
        <w:rPr>
          <w:rFonts w:ascii="新細明體" w:eastAsia="新細明體" w:hAnsi="新細明體"/>
          <w:sz w:val="24"/>
          <w:szCs w:val="24"/>
          <w:lang w:eastAsia="zh-TW"/>
        </w:rPr>
        <w:t>詢問求職者是否有「案底」，而當得知求職者過往曾有「案底」或曾是在囚人士後，有關</w:t>
      </w:r>
      <w:r w:rsidRPr="00C05276">
        <w:rPr>
          <w:rFonts w:ascii="新細明體" w:eastAsia="新細明體" w:hAnsi="新細明體" w:hint="eastAsia"/>
          <w:sz w:val="24"/>
          <w:szCs w:val="24"/>
          <w:lang w:eastAsia="zh-TW"/>
        </w:rPr>
        <w:t>僱</w:t>
      </w:r>
      <w:r w:rsidRPr="00C05276">
        <w:rPr>
          <w:rFonts w:ascii="新細明體" w:eastAsia="新細明體" w:hAnsi="新細明體"/>
          <w:sz w:val="24"/>
          <w:szCs w:val="24"/>
          <w:lang w:eastAsia="zh-TW"/>
        </w:rPr>
        <w:t>主也很多時會不問情由而拒絕給予有關更生人士工作。</w:t>
      </w:r>
    </w:p>
    <w:p w:rsidR="00C05276" w:rsidRPr="00C05276" w:rsidRDefault="00C05276" w:rsidP="00C05276">
      <w:pPr>
        <w:jc w:val="both"/>
        <w:rPr>
          <w:rFonts w:ascii="新細明體" w:eastAsia="新細明體" w:hAnsi="新細明體"/>
          <w:sz w:val="24"/>
          <w:szCs w:val="24"/>
          <w:lang w:eastAsia="zh-TW"/>
        </w:rPr>
      </w:pPr>
    </w:p>
    <w:p w:rsidR="00C05276" w:rsidRPr="00C05276" w:rsidRDefault="00C05276" w:rsidP="00C05276">
      <w:pPr>
        <w:ind w:firstLine="48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為了防止對更生人士就業方面出現歧視，外國的經驗</w:t>
      </w:r>
      <w:r w:rsidR="001A4BAD">
        <w:rPr>
          <w:rFonts w:ascii="新細明體" w:eastAsia="新細明體" w:hAnsi="新細明體" w:hint="eastAsia"/>
          <w:sz w:val="24"/>
          <w:szCs w:val="24"/>
          <w:lang w:eastAsia="zh-TW"/>
        </w:rPr>
        <w:t>告訴我們，各國</w:t>
      </w:r>
      <w:r w:rsidRPr="00C05276">
        <w:rPr>
          <w:rFonts w:ascii="新細明體" w:eastAsia="新細明體" w:hAnsi="新細明體"/>
          <w:sz w:val="24"/>
          <w:szCs w:val="24"/>
          <w:lang w:eastAsia="zh-TW"/>
        </w:rPr>
        <w:t>普遍透過</w:t>
      </w:r>
      <w:proofErr w:type="gramStart"/>
      <w:r w:rsidRPr="00C05276">
        <w:rPr>
          <w:rFonts w:ascii="新細明體" w:eastAsia="新細明體" w:hAnsi="新細明體"/>
          <w:sz w:val="24"/>
          <w:szCs w:val="24"/>
          <w:lang w:eastAsia="zh-TW"/>
        </w:rPr>
        <w:t>三</w:t>
      </w:r>
      <w:proofErr w:type="gramEnd"/>
      <w:r w:rsidRPr="00C05276">
        <w:rPr>
          <w:rFonts w:ascii="新細明體" w:eastAsia="新細明體" w:hAnsi="新細明體"/>
          <w:sz w:val="24"/>
          <w:szCs w:val="24"/>
          <w:lang w:eastAsia="zh-TW"/>
        </w:rPr>
        <w:t>方面的立法工作予以保障：第一，透過制訂反歧視法禁止對更生人士的就業作出歧視性對待；第二，透過立法及發出指引推動</w:t>
      </w:r>
      <w:r w:rsidRPr="00C05276">
        <w:rPr>
          <w:rFonts w:ascii="新細明體" w:eastAsia="新細明體" w:hAnsi="新細明體" w:hint="eastAsia"/>
          <w:sz w:val="24"/>
          <w:szCs w:val="24"/>
          <w:lang w:eastAsia="zh-TW"/>
        </w:rPr>
        <w:t>僱</w:t>
      </w:r>
      <w:r w:rsidRPr="00C05276">
        <w:rPr>
          <w:rFonts w:ascii="新細明體" w:eastAsia="新細明體" w:hAnsi="新細明體"/>
          <w:sz w:val="24"/>
          <w:szCs w:val="24"/>
          <w:lang w:eastAsia="zh-TW"/>
        </w:rPr>
        <w:t>主避免向求職者查詢其有否「案底」，尤其是有關「案底」存在與否跟是否合適從事其應徵的工作沒有必然關係；第三，透過訂立「罪犯自新」（俗稱「洗底」）制度在法律上豁免更生人士在求職時申報其原有「案底」。</w:t>
      </w:r>
    </w:p>
    <w:p w:rsidR="00C05276" w:rsidRPr="00C05276" w:rsidRDefault="00C05276" w:rsidP="00C05276">
      <w:pPr>
        <w:jc w:val="both"/>
        <w:rPr>
          <w:rFonts w:ascii="新細明體" w:eastAsia="新細明體" w:hAnsi="新細明體"/>
          <w:b/>
          <w:sz w:val="24"/>
          <w:szCs w:val="24"/>
          <w:lang w:eastAsia="zh-TW"/>
        </w:rPr>
      </w:pPr>
    </w:p>
    <w:p w:rsidR="00C05276" w:rsidRPr="00C05276" w:rsidRDefault="00C05276" w:rsidP="00C05276">
      <w:pPr>
        <w:jc w:val="both"/>
        <w:rPr>
          <w:rFonts w:ascii="新細明體" w:eastAsia="新細明體" w:hAnsi="新細明體"/>
          <w:b/>
          <w:sz w:val="24"/>
          <w:szCs w:val="24"/>
          <w:lang w:eastAsia="zh-TW"/>
        </w:rPr>
      </w:pPr>
      <w:r w:rsidRPr="00C05276">
        <w:rPr>
          <w:rFonts w:ascii="新細明體" w:eastAsia="新細明體" w:hAnsi="新細明體"/>
          <w:b/>
          <w:sz w:val="24"/>
          <w:szCs w:val="24"/>
          <w:lang w:eastAsia="zh-TW"/>
        </w:rPr>
        <w:lastRenderedPageBreak/>
        <w:t>建議</w:t>
      </w:r>
    </w:p>
    <w:p w:rsidR="00C05276" w:rsidRPr="00C05276" w:rsidRDefault="00C05276" w:rsidP="00C05276">
      <w:pPr>
        <w:pStyle w:val="a5"/>
        <w:numPr>
          <w:ilvl w:val="0"/>
          <w:numId w:val="7"/>
        </w:numPr>
        <w:ind w:leftChars="0"/>
        <w:jc w:val="both"/>
        <w:rPr>
          <w:rFonts w:ascii="新細明體" w:eastAsia="新細明體" w:hAnsi="新細明體"/>
          <w:sz w:val="24"/>
          <w:szCs w:val="24"/>
          <w:lang w:eastAsia="zh-TW"/>
        </w:rPr>
      </w:pPr>
      <w:r w:rsidRPr="00C05276">
        <w:rPr>
          <w:rFonts w:ascii="新細明體" w:eastAsia="新細明體" w:hAnsi="新細明體"/>
          <w:sz w:val="24"/>
          <w:szCs w:val="24"/>
          <w:lang w:eastAsia="zh-TW"/>
        </w:rPr>
        <w:t>香港已有</w:t>
      </w:r>
      <w:r w:rsidRPr="00C05276">
        <w:rPr>
          <w:rFonts w:ascii="新細明體" w:eastAsia="新細明體" w:hAnsi="新細明體" w:hint="eastAsia"/>
          <w:sz w:val="24"/>
          <w:szCs w:val="24"/>
          <w:lang w:eastAsia="zh-TW"/>
        </w:rPr>
        <w:t>近二</w:t>
      </w:r>
      <w:r w:rsidRPr="00C05276">
        <w:rPr>
          <w:rFonts w:ascii="新細明體" w:eastAsia="新細明體" w:hAnsi="新細明體"/>
          <w:sz w:val="24"/>
          <w:szCs w:val="24"/>
          <w:lang w:eastAsia="zh-TW"/>
        </w:rPr>
        <w:t>十年實施反歧視立法的經驗，社會大眾亦普遍認同特別是就業方面的反歧視立法對於促進社會平等有積極意義。為此，</w:t>
      </w:r>
      <w:proofErr w:type="gramStart"/>
      <w:r w:rsidRPr="00C05276">
        <w:rPr>
          <w:rFonts w:ascii="新細明體" w:eastAsia="新細明體" w:hAnsi="新細明體" w:hint="eastAsia"/>
          <w:sz w:val="24"/>
          <w:szCs w:val="24"/>
          <w:lang w:eastAsia="zh-TW"/>
        </w:rPr>
        <w:t>社協</w:t>
      </w:r>
      <w:r w:rsidRPr="00C05276">
        <w:rPr>
          <w:rFonts w:ascii="新細明體" w:eastAsia="新細明體" w:hAnsi="新細明體"/>
          <w:sz w:val="24"/>
          <w:szCs w:val="24"/>
          <w:lang w:eastAsia="zh-TW"/>
        </w:rPr>
        <w:t>建議</w:t>
      </w:r>
      <w:proofErr w:type="gramEnd"/>
      <w:r w:rsidRPr="00C05276">
        <w:rPr>
          <w:rFonts w:ascii="新細明體" w:eastAsia="新細明體" w:hAnsi="新細明體"/>
          <w:sz w:val="24"/>
          <w:szCs w:val="24"/>
          <w:lang w:eastAsia="zh-TW"/>
        </w:rPr>
        <w:t>：</w:t>
      </w:r>
      <w:r w:rsidRPr="00C05276">
        <w:rPr>
          <w:rFonts w:ascii="新細明體" w:eastAsia="新細明體" w:hAnsi="新細明體"/>
          <w:b/>
          <w:sz w:val="24"/>
          <w:szCs w:val="24"/>
          <w:u w:val="single"/>
          <w:lang w:eastAsia="zh-TW"/>
        </w:rPr>
        <w:t>特區政府應</w:t>
      </w:r>
      <w:r w:rsidRPr="00C05276">
        <w:rPr>
          <w:rFonts w:ascii="新細明體" w:eastAsia="新細明體" w:hAnsi="新細明體" w:hint="eastAsia"/>
          <w:b/>
          <w:sz w:val="24"/>
          <w:szCs w:val="24"/>
          <w:u w:val="single"/>
          <w:lang w:eastAsia="zh-TW"/>
        </w:rPr>
        <w:t>盡</w:t>
      </w:r>
      <w:r w:rsidRPr="00C05276">
        <w:rPr>
          <w:rFonts w:ascii="新細明體" w:eastAsia="新細明體" w:hAnsi="新細明體"/>
          <w:b/>
          <w:sz w:val="24"/>
          <w:szCs w:val="24"/>
          <w:u w:val="single"/>
          <w:lang w:eastAsia="zh-TW"/>
        </w:rPr>
        <w:t>快制定</w:t>
      </w:r>
      <w:proofErr w:type="gramStart"/>
      <w:r w:rsidRPr="00C05276">
        <w:rPr>
          <w:rFonts w:ascii="新細明體" w:eastAsia="新細明體" w:hAnsi="新細明體"/>
          <w:b/>
          <w:sz w:val="24"/>
          <w:szCs w:val="24"/>
          <w:u w:val="single"/>
          <w:lang w:eastAsia="zh-TW"/>
        </w:rPr>
        <w:t>一</w:t>
      </w:r>
      <w:proofErr w:type="gramEnd"/>
      <w:r w:rsidRPr="00C05276">
        <w:rPr>
          <w:rFonts w:ascii="新細明體" w:eastAsia="新細明體" w:hAnsi="新細明體"/>
          <w:b/>
          <w:sz w:val="24"/>
          <w:szCs w:val="24"/>
          <w:u w:val="single"/>
          <w:lang w:eastAsia="zh-TW"/>
        </w:rPr>
        <w:t>項新的反歧視立法，以保障更生人士在就業方面（以至其他範疇）不會遭到歧視性對待，而平機會亦應作為有關法例的執行機構，包括獲法例賦權處理有關投訴的調查、調解及仲裁事宜，以確保平等機會保障得以落實</w:t>
      </w:r>
      <w:r w:rsidRPr="00C05276">
        <w:rPr>
          <w:rFonts w:ascii="新細明體" w:eastAsia="新細明體" w:hAnsi="新細明體" w:hint="eastAsia"/>
          <w:b/>
          <w:sz w:val="24"/>
          <w:szCs w:val="24"/>
          <w:u w:val="single"/>
          <w:lang w:eastAsia="zh-TW"/>
        </w:rPr>
        <w:t>。</w:t>
      </w:r>
    </w:p>
    <w:p w:rsidR="00C05276" w:rsidRPr="00C05276" w:rsidRDefault="00C05276" w:rsidP="00C05276">
      <w:pPr>
        <w:pStyle w:val="a5"/>
        <w:numPr>
          <w:ilvl w:val="0"/>
          <w:numId w:val="7"/>
        </w:numPr>
        <w:ind w:leftChars="0"/>
        <w:jc w:val="both"/>
        <w:rPr>
          <w:rFonts w:ascii="新細明體" w:eastAsia="新細明體" w:hAnsi="新細明體"/>
          <w:sz w:val="24"/>
          <w:szCs w:val="24"/>
          <w:lang w:eastAsia="zh-TW"/>
        </w:rPr>
      </w:pPr>
      <w:r w:rsidRPr="00C05276">
        <w:rPr>
          <w:rFonts w:ascii="新細明體" w:eastAsia="新細明體" w:hAnsi="新細明體"/>
          <w:b/>
          <w:sz w:val="24"/>
          <w:szCs w:val="24"/>
          <w:u w:val="single"/>
          <w:lang w:eastAsia="zh-TW"/>
        </w:rPr>
        <w:t>特區政府</w:t>
      </w:r>
      <w:r w:rsidRPr="00C05276">
        <w:rPr>
          <w:rFonts w:ascii="新細明體" w:eastAsia="新細明體" w:hAnsi="新細明體" w:hint="eastAsia"/>
          <w:b/>
          <w:sz w:val="24"/>
          <w:szCs w:val="24"/>
          <w:u w:val="single"/>
          <w:lang w:eastAsia="zh-TW"/>
        </w:rPr>
        <w:t>盡</w:t>
      </w:r>
      <w:r w:rsidRPr="00C05276">
        <w:rPr>
          <w:rFonts w:ascii="新細明體" w:eastAsia="新細明體" w:hAnsi="新細明體"/>
          <w:b/>
          <w:sz w:val="24"/>
          <w:szCs w:val="24"/>
          <w:u w:val="single"/>
          <w:lang w:eastAsia="zh-TW"/>
        </w:rPr>
        <w:t>快檢討及修訂《個人資料（私隱）條例》，明確把刑事紀錄列為個人資料，並透過立法及制定相關指引規定雇主在招聘時除因工作性質必要外不要求求職者提供刑事紀錄資料，</w:t>
      </w:r>
      <w:proofErr w:type="gramStart"/>
      <w:r w:rsidRPr="00C05276">
        <w:rPr>
          <w:rFonts w:ascii="新細明體" w:eastAsia="新細明體" w:hAnsi="新細明體"/>
          <w:b/>
          <w:sz w:val="24"/>
          <w:szCs w:val="24"/>
          <w:u w:val="single"/>
          <w:lang w:eastAsia="zh-TW"/>
        </w:rPr>
        <w:t>而確有</w:t>
      </w:r>
      <w:proofErr w:type="gramEnd"/>
      <w:r w:rsidRPr="00C05276">
        <w:rPr>
          <w:rFonts w:ascii="新細明體" w:eastAsia="新細明體" w:hAnsi="新細明體"/>
          <w:b/>
          <w:sz w:val="24"/>
          <w:szCs w:val="24"/>
          <w:u w:val="single"/>
          <w:lang w:eastAsia="zh-TW"/>
        </w:rPr>
        <w:t>需要有關資料以參考是否聘用時，亦應在經過</w:t>
      </w:r>
      <w:proofErr w:type="gramStart"/>
      <w:r w:rsidRPr="00C05276">
        <w:rPr>
          <w:rFonts w:ascii="新細明體" w:eastAsia="新細明體" w:hAnsi="新細明體"/>
          <w:b/>
          <w:sz w:val="24"/>
          <w:szCs w:val="24"/>
          <w:u w:val="single"/>
          <w:lang w:eastAsia="zh-TW"/>
        </w:rPr>
        <w:t>見試而確定</w:t>
      </w:r>
      <w:proofErr w:type="gramEnd"/>
      <w:r w:rsidRPr="00C05276">
        <w:rPr>
          <w:rFonts w:ascii="新細明體" w:eastAsia="新細明體" w:hAnsi="新細明體"/>
          <w:b/>
          <w:sz w:val="24"/>
          <w:szCs w:val="24"/>
          <w:u w:val="single"/>
          <w:lang w:eastAsia="zh-TW"/>
        </w:rPr>
        <w:t>有關求職者為准雇員後才可查問有關資料</w:t>
      </w:r>
      <w:r w:rsidRPr="00C05276">
        <w:rPr>
          <w:rFonts w:ascii="新細明體" w:eastAsia="新細明體" w:hAnsi="新細明體"/>
          <w:sz w:val="24"/>
          <w:szCs w:val="24"/>
          <w:lang w:eastAsia="zh-TW"/>
        </w:rPr>
        <w:t>。</w:t>
      </w:r>
    </w:p>
    <w:p w:rsidR="00C05276" w:rsidRPr="00C05276" w:rsidRDefault="001A4BAD" w:rsidP="00C05276">
      <w:pPr>
        <w:pStyle w:val="a5"/>
        <w:numPr>
          <w:ilvl w:val="0"/>
          <w:numId w:val="7"/>
        </w:numPr>
        <w:ind w:leftChars="0"/>
        <w:jc w:val="both"/>
        <w:rPr>
          <w:rFonts w:ascii="新細明體" w:eastAsia="新細明體" w:hAnsi="新細明體"/>
          <w:sz w:val="24"/>
          <w:szCs w:val="24"/>
          <w:lang w:eastAsia="zh-TW"/>
        </w:rPr>
      </w:pPr>
      <w:r>
        <w:rPr>
          <w:rFonts w:ascii="新細明體" w:eastAsia="新細明體" w:hAnsi="新細明體"/>
          <w:sz w:val="24"/>
          <w:szCs w:val="24"/>
          <w:lang w:eastAsia="zh-TW"/>
        </w:rPr>
        <w:t>在香港，政府、公營機構以至由公</w:t>
      </w:r>
      <w:proofErr w:type="gramStart"/>
      <w:r>
        <w:rPr>
          <w:rFonts w:ascii="新細明體" w:eastAsia="新細明體" w:hAnsi="新細明體"/>
          <w:sz w:val="24"/>
          <w:szCs w:val="24"/>
          <w:lang w:eastAsia="zh-TW"/>
        </w:rPr>
        <w:t>帑</w:t>
      </w:r>
      <w:proofErr w:type="gramEnd"/>
      <w:r>
        <w:rPr>
          <w:rFonts w:ascii="新細明體" w:eastAsia="新細明體" w:hAnsi="新細明體"/>
          <w:sz w:val="24"/>
          <w:szCs w:val="24"/>
          <w:lang w:eastAsia="zh-TW"/>
        </w:rPr>
        <w:t>資助的社會服務機構合共</w:t>
      </w:r>
      <w:r>
        <w:rPr>
          <w:rFonts w:ascii="新細明體" w:eastAsia="新細明體" w:hAnsi="新細明體" w:hint="eastAsia"/>
          <w:sz w:val="24"/>
          <w:szCs w:val="24"/>
          <w:lang w:eastAsia="zh-TW"/>
        </w:rPr>
        <w:t>僱</w:t>
      </w:r>
      <w:r w:rsidR="00C05276" w:rsidRPr="00C05276">
        <w:rPr>
          <w:rFonts w:ascii="新細明體" w:eastAsia="新細明體" w:hAnsi="新細明體"/>
          <w:sz w:val="24"/>
          <w:szCs w:val="24"/>
          <w:lang w:eastAsia="zh-TW"/>
        </w:rPr>
        <w:t>用了數十萬的員工，因此有必要由政府及有關機構帶頭確立以上招聘措施以減少歧視，而公營機構帶頭的做法亦可為私營機構豎立良好榜樣；為此，</w:t>
      </w:r>
      <w:proofErr w:type="gramStart"/>
      <w:r w:rsidR="00C05276" w:rsidRPr="00C05276">
        <w:rPr>
          <w:rFonts w:ascii="新細明體" w:eastAsia="新細明體" w:hAnsi="新細明體" w:hint="eastAsia"/>
          <w:sz w:val="24"/>
          <w:szCs w:val="24"/>
          <w:lang w:eastAsia="zh-TW"/>
        </w:rPr>
        <w:t>社協</w:t>
      </w:r>
      <w:r w:rsidR="00C05276" w:rsidRPr="00C05276">
        <w:rPr>
          <w:rFonts w:ascii="新細明體" w:eastAsia="新細明體" w:hAnsi="新細明體"/>
          <w:sz w:val="24"/>
          <w:szCs w:val="24"/>
          <w:lang w:eastAsia="zh-TW"/>
        </w:rPr>
        <w:t>建議</w:t>
      </w:r>
      <w:proofErr w:type="gramEnd"/>
      <w:r w:rsidR="00C05276" w:rsidRPr="00C05276">
        <w:rPr>
          <w:rFonts w:ascii="新細明體" w:eastAsia="新細明體" w:hAnsi="新細明體"/>
          <w:sz w:val="24"/>
          <w:szCs w:val="24"/>
          <w:lang w:eastAsia="zh-TW"/>
        </w:rPr>
        <w:t>：</w:t>
      </w:r>
      <w:r w:rsidR="00C05276" w:rsidRPr="00C05276">
        <w:rPr>
          <w:rFonts w:ascii="新細明體" w:eastAsia="新細明體" w:hAnsi="新細明體"/>
          <w:b/>
          <w:sz w:val="24"/>
          <w:szCs w:val="24"/>
          <w:u w:val="single"/>
          <w:lang w:eastAsia="zh-TW"/>
        </w:rPr>
        <w:t>政府、公營機構及由公</w:t>
      </w:r>
      <w:proofErr w:type="gramStart"/>
      <w:r w:rsidR="00C05276" w:rsidRPr="00C05276">
        <w:rPr>
          <w:rFonts w:ascii="新細明體" w:eastAsia="新細明體" w:hAnsi="新細明體"/>
          <w:b/>
          <w:sz w:val="24"/>
          <w:szCs w:val="24"/>
          <w:u w:val="single"/>
          <w:lang w:eastAsia="zh-TW"/>
        </w:rPr>
        <w:t>帑</w:t>
      </w:r>
      <w:proofErr w:type="gramEnd"/>
      <w:r w:rsidR="00C05276" w:rsidRPr="00C05276">
        <w:rPr>
          <w:rFonts w:ascii="新細明體" w:eastAsia="新細明體" w:hAnsi="新細明體"/>
          <w:b/>
          <w:sz w:val="24"/>
          <w:szCs w:val="24"/>
          <w:u w:val="single"/>
          <w:lang w:eastAsia="zh-TW"/>
        </w:rPr>
        <w:t>資助的社會服務機構應帶頭檢討其招聘政策，除了法律規定屬必要的情況，應全面禁止有關機構在招聘時查問求職者的刑事紀錄，亦不應在招聘過程中以求職者是否有刑事紀錄作為是否與以聘用的考慮點</w:t>
      </w:r>
      <w:r w:rsidR="00C05276" w:rsidRPr="00C05276">
        <w:rPr>
          <w:rFonts w:ascii="新細明體" w:eastAsia="新細明體" w:hAnsi="新細明體"/>
          <w:sz w:val="24"/>
          <w:szCs w:val="24"/>
          <w:lang w:eastAsia="zh-TW"/>
        </w:rPr>
        <w:t>。</w:t>
      </w:r>
    </w:p>
    <w:p w:rsidR="00C05276" w:rsidRPr="00C05276" w:rsidRDefault="00C05276" w:rsidP="00C05276">
      <w:pPr>
        <w:pStyle w:val="a5"/>
        <w:numPr>
          <w:ilvl w:val="0"/>
          <w:numId w:val="7"/>
        </w:numPr>
        <w:ind w:leftChars="0"/>
        <w:jc w:val="both"/>
        <w:rPr>
          <w:rFonts w:ascii="新細明體" w:eastAsia="新細明體" w:hAnsi="新細明體"/>
          <w:sz w:val="24"/>
          <w:szCs w:val="24"/>
          <w:lang w:eastAsia="zh-TW"/>
        </w:rPr>
      </w:pPr>
      <w:r w:rsidRPr="00C05276">
        <w:rPr>
          <w:rFonts w:ascii="新細明體" w:eastAsia="新細明體" w:hAnsi="新細明體" w:hint="eastAsia"/>
          <w:b/>
          <w:sz w:val="24"/>
          <w:szCs w:val="24"/>
          <w:u w:val="single"/>
          <w:lang w:eastAsia="zh-TW"/>
        </w:rPr>
        <w:t>特區</w:t>
      </w:r>
      <w:r w:rsidRPr="00C05276">
        <w:rPr>
          <w:rFonts w:ascii="新細明體" w:eastAsia="新細明體" w:hAnsi="新細明體"/>
          <w:b/>
          <w:sz w:val="24"/>
          <w:szCs w:val="24"/>
          <w:u w:val="single"/>
          <w:lang w:eastAsia="zh-TW"/>
        </w:rPr>
        <w:t>政府儘快檢討及修訂《罪犯自新條例》，包括參考英國早年檢討報告書的建議，以全面放寬罪犯自新的規定</w:t>
      </w:r>
      <w:r w:rsidRPr="00C05276">
        <w:rPr>
          <w:rFonts w:ascii="新細明體" w:eastAsia="新細明體" w:hAnsi="新細明體"/>
          <w:sz w:val="24"/>
          <w:szCs w:val="24"/>
          <w:lang w:eastAsia="zh-TW"/>
        </w:rPr>
        <w:t>。</w:t>
      </w:r>
    </w:p>
    <w:p w:rsidR="00C05276" w:rsidRPr="00C05276" w:rsidRDefault="00C05276" w:rsidP="00C05276">
      <w:pPr>
        <w:pStyle w:val="a5"/>
        <w:numPr>
          <w:ilvl w:val="0"/>
          <w:numId w:val="7"/>
        </w:numPr>
        <w:ind w:leftChars="0"/>
        <w:jc w:val="both"/>
        <w:rPr>
          <w:rFonts w:ascii="新細明體" w:eastAsia="新細明體" w:hAnsi="新細明體"/>
          <w:sz w:val="24"/>
          <w:szCs w:val="24"/>
          <w:lang w:eastAsia="zh-TW"/>
        </w:rPr>
      </w:pPr>
      <w:proofErr w:type="gramStart"/>
      <w:r w:rsidRPr="00C05276">
        <w:rPr>
          <w:rFonts w:ascii="新細明體" w:eastAsia="新細明體" w:hAnsi="新細明體"/>
          <w:b/>
          <w:sz w:val="24"/>
          <w:szCs w:val="24"/>
          <w:u w:val="single"/>
          <w:lang w:eastAsia="zh-TW"/>
        </w:rPr>
        <w:t>本港懲教</w:t>
      </w:r>
      <w:proofErr w:type="gramEnd"/>
      <w:r w:rsidRPr="00C05276">
        <w:rPr>
          <w:rFonts w:ascii="新細明體" w:eastAsia="新細明體" w:hAnsi="新細明體"/>
          <w:b/>
          <w:sz w:val="24"/>
          <w:szCs w:val="24"/>
          <w:u w:val="single"/>
          <w:lang w:eastAsia="zh-TW"/>
        </w:rPr>
        <w:t>機構應全面檢討及修訂其政策，並確立以更生為懲教工作的首要目標；同時，政府應增撥資源，加強在囚人士的就業技能訓練，並推動與私營機構的合作，確立在囚人士出外試工制度，以加強更生人士的就業能力</w:t>
      </w:r>
      <w:r w:rsidRPr="00C05276">
        <w:rPr>
          <w:rFonts w:ascii="新細明體" w:eastAsia="新細明體" w:hAnsi="新細明體"/>
          <w:sz w:val="24"/>
          <w:szCs w:val="24"/>
          <w:lang w:eastAsia="zh-TW"/>
        </w:rPr>
        <w:t>。</w:t>
      </w:r>
    </w:p>
    <w:p w:rsidR="00C05276" w:rsidRPr="00C05276" w:rsidRDefault="00C05276" w:rsidP="00C05276">
      <w:pPr>
        <w:pStyle w:val="a5"/>
        <w:numPr>
          <w:ilvl w:val="0"/>
          <w:numId w:val="7"/>
        </w:numPr>
        <w:ind w:leftChars="0"/>
        <w:jc w:val="both"/>
        <w:rPr>
          <w:rFonts w:ascii="新細明體" w:eastAsia="新細明體" w:hAnsi="新細明體"/>
          <w:sz w:val="24"/>
          <w:szCs w:val="24"/>
          <w:lang w:eastAsia="zh-TW"/>
        </w:rPr>
      </w:pPr>
      <w:r w:rsidRPr="00C05276">
        <w:rPr>
          <w:rFonts w:ascii="新細明體" w:eastAsia="新細明體" w:hAnsi="新細明體"/>
          <w:b/>
          <w:sz w:val="24"/>
          <w:szCs w:val="24"/>
          <w:u w:val="single"/>
          <w:lang w:eastAsia="zh-TW"/>
        </w:rPr>
        <w:t>政府全面檢討對釋囚的支援服務，並確立全方位的推動更生人士重新融入社會的政策；政府更應增撥資源，以處理釋囚在回歸社會初期所面對的就業、房屋及社會福利等方面的需求，包括向有需要的更生人士在其獲釋時立即</w:t>
      </w:r>
      <w:proofErr w:type="gramStart"/>
      <w:r w:rsidRPr="00C05276">
        <w:rPr>
          <w:rFonts w:ascii="新細明體" w:eastAsia="新細明體" w:hAnsi="新細明體"/>
          <w:b/>
          <w:sz w:val="24"/>
          <w:szCs w:val="24"/>
          <w:u w:val="single"/>
          <w:lang w:eastAsia="zh-TW"/>
        </w:rPr>
        <w:t>發放綜援</w:t>
      </w:r>
      <w:proofErr w:type="gramEnd"/>
      <w:r w:rsidRPr="00C05276">
        <w:rPr>
          <w:rFonts w:ascii="新細明體" w:eastAsia="新細明體" w:hAnsi="新細明體"/>
          <w:sz w:val="24"/>
          <w:szCs w:val="24"/>
          <w:lang w:eastAsia="zh-TW"/>
        </w:rPr>
        <w:t>。</w:t>
      </w:r>
    </w:p>
    <w:p w:rsidR="006467AF" w:rsidRDefault="006467AF" w:rsidP="00C070F5">
      <w:pPr>
        <w:jc w:val="both"/>
        <w:rPr>
          <w:rFonts w:eastAsia="新細明體"/>
          <w:sz w:val="24"/>
          <w:szCs w:val="24"/>
          <w:lang w:eastAsia="zh-TW"/>
        </w:rPr>
      </w:pPr>
    </w:p>
    <w:p w:rsidR="00C05276" w:rsidRPr="006467AF" w:rsidRDefault="00C05276" w:rsidP="00C070F5">
      <w:pPr>
        <w:jc w:val="both"/>
        <w:rPr>
          <w:rFonts w:eastAsia="新細明體"/>
          <w:sz w:val="24"/>
          <w:szCs w:val="24"/>
          <w:lang w:eastAsia="zh-TW"/>
        </w:rPr>
      </w:pPr>
    </w:p>
    <w:p w:rsidR="00BD3868" w:rsidRPr="00C05276" w:rsidRDefault="00BD3868" w:rsidP="00C070F5">
      <w:pPr>
        <w:jc w:val="both"/>
        <w:rPr>
          <w:rFonts w:ascii="標楷體" w:eastAsia="標楷體" w:hAnsi="標楷體"/>
          <w:b/>
          <w:sz w:val="36"/>
          <w:szCs w:val="36"/>
          <w:lang w:eastAsia="zh-TW"/>
        </w:rPr>
      </w:pPr>
      <w:r>
        <w:rPr>
          <w:rFonts w:eastAsia="新細明體" w:hint="eastAsia"/>
          <w:b/>
          <w:sz w:val="24"/>
          <w:szCs w:val="24"/>
          <w:lang w:eastAsia="zh-TW"/>
        </w:rPr>
        <w:t xml:space="preserve">                                                                                                                 </w:t>
      </w:r>
      <w:r w:rsidRPr="00C05276">
        <w:rPr>
          <w:rFonts w:ascii="標楷體" w:eastAsia="標楷體" w:hAnsi="標楷體" w:hint="eastAsia"/>
          <w:b/>
          <w:sz w:val="36"/>
          <w:szCs w:val="36"/>
          <w:lang w:eastAsia="zh-TW"/>
        </w:rPr>
        <w:t>香港社區組織協會</w:t>
      </w:r>
    </w:p>
    <w:p w:rsidR="00BD3868" w:rsidRPr="00BD3868" w:rsidRDefault="00BD3868" w:rsidP="00BD3868">
      <w:pPr>
        <w:jc w:val="right"/>
        <w:rPr>
          <w:rFonts w:eastAsia="新細明體"/>
          <w:sz w:val="24"/>
          <w:szCs w:val="24"/>
          <w:lang w:eastAsia="zh-TW"/>
        </w:rPr>
      </w:pPr>
      <w:r w:rsidRPr="00BD3868">
        <w:rPr>
          <w:rFonts w:eastAsia="新細明體" w:hint="eastAsia"/>
          <w:sz w:val="24"/>
          <w:szCs w:val="24"/>
          <w:lang w:eastAsia="zh-TW"/>
        </w:rPr>
        <w:t>2017</w:t>
      </w:r>
      <w:r w:rsidRPr="00BD3868">
        <w:rPr>
          <w:rFonts w:eastAsia="新細明體" w:hint="eastAsia"/>
          <w:sz w:val="24"/>
          <w:szCs w:val="24"/>
          <w:lang w:eastAsia="zh-TW"/>
        </w:rPr>
        <w:t>年</w:t>
      </w:r>
      <w:r w:rsidR="00FD1992">
        <w:rPr>
          <w:rFonts w:eastAsia="新細明體" w:hint="eastAsia"/>
          <w:sz w:val="24"/>
          <w:szCs w:val="24"/>
          <w:lang w:eastAsia="zh-TW"/>
        </w:rPr>
        <w:t>6</w:t>
      </w:r>
      <w:r w:rsidRPr="00BD3868">
        <w:rPr>
          <w:rFonts w:eastAsia="新細明體" w:hint="eastAsia"/>
          <w:sz w:val="24"/>
          <w:szCs w:val="24"/>
          <w:lang w:eastAsia="zh-TW"/>
        </w:rPr>
        <w:t>月</w:t>
      </w:r>
      <w:r w:rsidR="006467AF">
        <w:rPr>
          <w:rFonts w:eastAsia="新細明體" w:hint="eastAsia"/>
          <w:sz w:val="24"/>
          <w:szCs w:val="24"/>
          <w:lang w:eastAsia="zh-TW"/>
        </w:rPr>
        <w:t>13</w:t>
      </w:r>
      <w:r w:rsidRPr="00BD3868">
        <w:rPr>
          <w:rFonts w:eastAsia="新細明體" w:hint="eastAsia"/>
          <w:sz w:val="24"/>
          <w:szCs w:val="24"/>
          <w:lang w:eastAsia="zh-TW"/>
        </w:rPr>
        <w:t>日</w:t>
      </w:r>
    </w:p>
    <w:sectPr w:rsidR="00BD3868" w:rsidRPr="00BD3868" w:rsidSect="003152CC">
      <w:footerReference w:type="default" r:id="rId9"/>
      <w:pgSz w:w="11906" w:h="16838"/>
      <w:pgMar w:top="794"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0A" w:rsidRDefault="00CA750A" w:rsidP="00CA750A">
      <w:pPr>
        <w:spacing w:after="0" w:line="240" w:lineRule="auto"/>
      </w:pPr>
      <w:r>
        <w:separator/>
      </w:r>
    </w:p>
  </w:endnote>
  <w:endnote w:type="continuationSeparator" w:id="0">
    <w:p w:rsidR="00CA750A" w:rsidRDefault="00CA750A" w:rsidP="00CA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388476"/>
      <w:docPartObj>
        <w:docPartGallery w:val="Page Numbers (Bottom of Page)"/>
        <w:docPartUnique/>
      </w:docPartObj>
    </w:sdtPr>
    <w:sdtEndPr/>
    <w:sdtContent>
      <w:p w:rsidR="009D316E" w:rsidRDefault="009D316E">
        <w:pPr>
          <w:pStyle w:val="a9"/>
          <w:jc w:val="right"/>
        </w:pPr>
        <w:r>
          <w:fldChar w:fldCharType="begin"/>
        </w:r>
        <w:r>
          <w:instrText>PAGE   \* MERGEFORMAT</w:instrText>
        </w:r>
        <w:r>
          <w:fldChar w:fldCharType="separate"/>
        </w:r>
        <w:r w:rsidR="00726B03" w:rsidRPr="00726B03">
          <w:rPr>
            <w:noProof/>
            <w:lang w:val="zh-TW" w:eastAsia="zh-TW"/>
          </w:rPr>
          <w:t>1</w:t>
        </w:r>
        <w:r>
          <w:fldChar w:fldCharType="end"/>
        </w:r>
      </w:p>
    </w:sdtContent>
  </w:sdt>
  <w:p w:rsidR="009D316E" w:rsidRDefault="009D31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0A" w:rsidRDefault="00CA750A" w:rsidP="00CA750A">
      <w:pPr>
        <w:spacing w:after="0" w:line="240" w:lineRule="auto"/>
      </w:pPr>
      <w:r>
        <w:separator/>
      </w:r>
    </w:p>
  </w:footnote>
  <w:footnote w:type="continuationSeparator" w:id="0">
    <w:p w:rsidR="00CA750A" w:rsidRDefault="00CA750A" w:rsidP="00CA750A">
      <w:pPr>
        <w:spacing w:after="0" w:line="240" w:lineRule="auto"/>
      </w:pPr>
      <w:r>
        <w:continuationSeparator/>
      </w:r>
    </w:p>
  </w:footnote>
  <w:footnote w:id="1">
    <w:p w:rsidR="006467AF" w:rsidRPr="00BB1433" w:rsidRDefault="006467AF" w:rsidP="006467AF">
      <w:pPr>
        <w:pStyle w:val="ab"/>
        <w:spacing w:line="200" w:lineRule="exact"/>
        <w:rPr>
          <w:rFonts w:ascii="Times New Roman" w:hAnsi="Times New Roman"/>
          <w:sz w:val="18"/>
          <w:szCs w:val="18"/>
          <w:lang w:eastAsia="zh-TW"/>
        </w:rPr>
      </w:pPr>
      <w:r w:rsidRPr="009D2EC4">
        <w:rPr>
          <w:rStyle w:val="ad"/>
          <w:rFonts w:ascii="Times New Roman" w:hAnsi="Times New Roman"/>
        </w:rPr>
        <w:footnoteRef/>
      </w:r>
      <w:r w:rsidRPr="00BB1433">
        <w:rPr>
          <w:rFonts w:ascii="Times New Roman" w:hAnsi="Times New Roman"/>
          <w:sz w:val="18"/>
          <w:szCs w:val="18"/>
        </w:rPr>
        <w:t>聯合國文件：</w:t>
      </w:r>
      <w:r w:rsidRPr="00BB1433">
        <w:rPr>
          <w:rFonts w:ascii="Times New Roman" w:hAnsi="Times New Roman"/>
          <w:sz w:val="18"/>
          <w:szCs w:val="18"/>
        </w:rPr>
        <w:t>E/C.12/CHN/CO/2</w:t>
      </w:r>
      <w:r w:rsidRPr="00BB1433">
        <w:rPr>
          <w:rFonts w:ascii="Times New Roman" w:hAnsi="Times New Roman"/>
          <w:sz w:val="18"/>
          <w:szCs w:val="18"/>
          <w:lang w:eastAsia="zh-TW"/>
        </w:rPr>
        <w:t>，第</w:t>
      </w:r>
      <w:r w:rsidRPr="00BB1433">
        <w:rPr>
          <w:rFonts w:ascii="Times New Roman" w:hAnsi="Times New Roman"/>
          <w:sz w:val="18"/>
          <w:szCs w:val="18"/>
          <w:lang w:eastAsia="zh-TW"/>
        </w:rPr>
        <w:t>41</w:t>
      </w:r>
      <w:r w:rsidRPr="00BB1433">
        <w:rPr>
          <w:rFonts w:ascii="Times New Roman" w:hAnsi="Times New Roman"/>
          <w:sz w:val="18"/>
          <w:szCs w:val="18"/>
          <w:lang w:eastAsia="zh-TW"/>
        </w:rPr>
        <w:t>段。見：</w:t>
      </w:r>
      <w:r w:rsidRPr="00BB1433">
        <w:rPr>
          <w:rFonts w:ascii="Times New Roman" w:eastAsia="標楷體" w:hAnsi="Times New Roman"/>
          <w:sz w:val="18"/>
          <w:szCs w:val="18"/>
          <w:lang w:eastAsia="zh-TW"/>
        </w:rPr>
        <w:t>http://daccess-dds-ny.un.org/doc/UNDOC/GEN/G14/049/82/PDF/G1404982.pdf?OpenElement</w:t>
      </w:r>
    </w:p>
  </w:footnote>
  <w:footnote w:id="2">
    <w:p w:rsidR="006467AF" w:rsidRPr="00BB1433" w:rsidRDefault="006467AF" w:rsidP="006467AF">
      <w:pPr>
        <w:pStyle w:val="ab"/>
        <w:spacing w:line="200" w:lineRule="exact"/>
        <w:rPr>
          <w:rFonts w:ascii="Times New Roman" w:hAnsi="Times New Roman"/>
          <w:sz w:val="18"/>
          <w:szCs w:val="18"/>
          <w:lang w:eastAsia="zh-TW"/>
        </w:rPr>
      </w:pPr>
      <w:r w:rsidRPr="009D2EC4">
        <w:rPr>
          <w:rStyle w:val="ad"/>
          <w:rFonts w:ascii="Times New Roman" w:hAnsi="Times New Roman"/>
        </w:rPr>
        <w:footnoteRef/>
      </w:r>
      <w:r w:rsidRPr="009D2EC4">
        <w:rPr>
          <w:rFonts w:ascii="Times New Roman" w:hAnsi="Times New Roman"/>
        </w:rPr>
        <w:t xml:space="preserve"> </w:t>
      </w:r>
      <w:r w:rsidRPr="00BB1433">
        <w:rPr>
          <w:rFonts w:ascii="Times New Roman" w:hAnsi="Times New Roman"/>
          <w:sz w:val="18"/>
          <w:szCs w:val="18"/>
          <w:lang w:eastAsia="zh-TW"/>
        </w:rPr>
        <w:t>有關案例包括</w:t>
      </w:r>
      <w:proofErr w:type="spellStart"/>
      <w:r w:rsidRPr="00BB1433">
        <w:rPr>
          <w:rFonts w:ascii="Times New Roman" w:hAnsi="Times New Roman"/>
          <w:i/>
          <w:sz w:val="18"/>
          <w:szCs w:val="18"/>
          <w:lang w:eastAsia="zh-TW"/>
        </w:rPr>
        <w:t>Mandla</w:t>
      </w:r>
      <w:proofErr w:type="spellEnd"/>
      <w:r w:rsidRPr="00BB1433">
        <w:rPr>
          <w:rFonts w:ascii="Times New Roman" w:hAnsi="Times New Roman"/>
          <w:i/>
          <w:sz w:val="18"/>
          <w:szCs w:val="18"/>
          <w:lang w:eastAsia="zh-TW"/>
        </w:rPr>
        <w:t xml:space="preserve"> (</w:t>
      </w:r>
      <w:proofErr w:type="spellStart"/>
      <w:r w:rsidRPr="00BB1433">
        <w:rPr>
          <w:rFonts w:ascii="Times New Roman" w:hAnsi="Times New Roman"/>
          <w:i/>
          <w:sz w:val="18"/>
          <w:szCs w:val="18"/>
          <w:lang w:eastAsia="zh-TW"/>
        </w:rPr>
        <w:t>Sewa</w:t>
      </w:r>
      <w:proofErr w:type="spellEnd"/>
      <w:r w:rsidRPr="00BB1433">
        <w:rPr>
          <w:rFonts w:ascii="Times New Roman" w:hAnsi="Times New Roman"/>
          <w:i/>
          <w:sz w:val="18"/>
          <w:szCs w:val="18"/>
          <w:lang w:eastAsia="zh-TW"/>
        </w:rPr>
        <w:t xml:space="preserve"> Singh) v Dowell Lee</w:t>
      </w:r>
      <w:r w:rsidRPr="00BB1433">
        <w:rPr>
          <w:rFonts w:ascii="Times New Roman" w:hAnsi="Times New Roman"/>
          <w:sz w:val="18"/>
          <w:szCs w:val="18"/>
          <w:lang w:eastAsia="zh-TW"/>
        </w:rPr>
        <w:t xml:space="preserve"> [1983] 2 A.C. 548, </w:t>
      </w:r>
      <w:r w:rsidRPr="00BB1433">
        <w:rPr>
          <w:rFonts w:ascii="Times New Roman" w:hAnsi="Times New Roman"/>
          <w:i/>
          <w:sz w:val="18"/>
          <w:szCs w:val="18"/>
          <w:lang w:eastAsia="zh-TW"/>
        </w:rPr>
        <w:t>R v Governing Body of JFS</w:t>
      </w:r>
      <w:r w:rsidRPr="00BB1433">
        <w:rPr>
          <w:rFonts w:ascii="Times New Roman" w:hAnsi="Times New Roman"/>
          <w:sz w:val="18"/>
          <w:szCs w:val="18"/>
          <w:lang w:eastAsia="zh-TW"/>
        </w:rPr>
        <w:t xml:space="preserve"> [2010] 2 A.C. 728, </w:t>
      </w:r>
      <w:r w:rsidRPr="00BB1433">
        <w:rPr>
          <w:rFonts w:ascii="Times New Roman" w:hAnsi="Times New Roman"/>
          <w:i/>
          <w:sz w:val="18"/>
          <w:szCs w:val="18"/>
          <w:lang w:eastAsia="zh-TW"/>
        </w:rPr>
        <w:t xml:space="preserve">BBC </w:t>
      </w:r>
      <w:proofErr w:type="spellStart"/>
      <w:r w:rsidRPr="00BB1433">
        <w:rPr>
          <w:rFonts w:ascii="Times New Roman" w:hAnsi="Times New Roman"/>
          <w:i/>
          <w:sz w:val="18"/>
          <w:szCs w:val="18"/>
          <w:lang w:eastAsia="zh-TW"/>
        </w:rPr>
        <w:t>Socotland</w:t>
      </w:r>
      <w:proofErr w:type="spellEnd"/>
      <w:r w:rsidRPr="00BB1433">
        <w:rPr>
          <w:rFonts w:ascii="Times New Roman" w:hAnsi="Times New Roman"/>
          <w:i/>
          <w:sz w:val="18"/>
          <w:szCs w:val="18"/>
          <w:lang w:eastAsia="zh-TW"/>
        </w:rPr>
        <w:t xml:space="preserve"> v </w:t>
      </w:r>
      <w:proofErr w:type="spellStart"/>
      <w:r w:rsidRPr="00BB1433">
        <w:rPr>
          <w:rFonts w:ascii="Times New Roman" w:hAnsi="Times New Roman"/>
          <w:i/>
          <w:sz w:val="18"/>
          <w:szCs w:val="18"/>
          <w:lang w:eastAsia="zh-TW"/>
        </w:rPr>
        <w:t>Souster</w:t>
      </w:r>
      <w:proofErr w:type="spellEnd"/>
      <w:r w:rsidRPr="00BB1433">
        <w:rPr>
          <w:rFonts w:ascii="Times New Roman" w:hAnsi="Times New Roman"/>
          <w:sz w:val="18"/>
          <w:szCs w:val="18"/>
          <w:lang w:eastAsia="zh-TW"/>
        </w:rPr>
        <w:t xml:space="preserve"> [2001] S.C. 458, </w:t>
      </w:r>
      <w:r w:rsidRPr="00BB1433">
        <w:rPr>
          <w:rFonts w:ascii="Times New Roman" w:hAnsi="Times New Roman"/>
          <w:i/>
          <w:sz w:val="18"/>
          <w:szCs w:val="18"/>
          <w:lang w:eastAsia="zh-TW"/>
        </w:rPr>
        <w:t>Ealing London Borough Council v Race Relations Board</w:t>
      </w:r>
      <w:r w:rsidRPr="00BB1433">
        <w:rPr>
          <w:rFonts w:ascii="Times New Roman" w:hAnsi="Times New Roman"/>
          <w:sz w:val="18"/>
          <w:szCs w:val="18"/>
          <w:lang w:eastAsia="zh-TW"/>
        </w:rPr>
        <w:t xml:space="preserve"> [1972] A.C. 342, </w:t>
      </w:r>
      <w:proofErr w:type="spellStart"/>
      <w:r w:rsidRPr="00BB1433">
        <w:rPr>
          <w:rFonts w:ascii="Times New Roman" w:hAnsi="Times New Roman"/>
          <w:i/>
          <w:sz w:val="18"/>
          <w:szCs w:val="18"/>
          <w:lang w:eastAsia="zh-TW"/>
        </w:rPr>
        <w:t>Tejani</w:t>
      </w:r>
      <w:proofErr w:type="spellEnd"/>
      <w:r w:rsidRPr="00BB1433">
        <w:rPr>
          <w:rFonts w:ascii="Times New Roman" w:hAnsi="Times New Roman"/>
          <w:i/>
          <w:sz w:val="18"/>
          <w:szCs w:val="18"/>
          <w:lang w:eastAsia="zh-TW"/>
        </w:rPr>
        <w:t xml:space="preserve"> v The Superintendent Registrar for the District of Peterborough</w:t>
      </w:r>
      <w:r w:rsidRPr="00BB1433">
        <w:rPr>
          <w:rFonts w:ascii="Times New Roman" w:hAnsi="Times New Roman"/>
          <w:sz w:val="18"/>
          <w:szCs w:val="18"/>
          <w:lang w:eastAsia="zh-TW"/>
        </w:rPr>
        <w:t xml:space="preserve"> [1986] IRLR 502, </w:t>
      </w:r>
      <w:r w:rsidRPr="00BB1433">
        <w:rPr>
          <w:rFonts w:ascii="Times New Roman" w:hAnsi="Times New Roman"/>
          <w:i/>
          <w:sz w:val="18"/>
          <w:szCs w:val="18"/>
          <w:lang w:eastAsia="zh-TW"/>
        </w:rPr>
        <w:t>R (Elias) v Secretary of State for Defence</w:t>
      </w:r>
      <w:r w:rsidRPr="00BB1433">
        <w:rPr>
          <w:rFonts w:ascii="Times New Roman" w:hAnsi="Times New Roman"/>
          <w:sz w:val="18"/>
          <w:szCs w:val="18"/>
          <w:lang w:eastAsia="zh-TW"/>
        </w:rPr>
        <w:t xml:space="preserve"> [2006] 1 W.L.R. 3213</w:t>
      </w:r>
      <w:r w:rsidRPr="00BB1433">
        <w:rPr>
          <w:rFonts w:ascii="Times New Roman" w:hAnsi="Times New Roman"/>
          <w:sz w:val="18"/>
          <w:szCs w:val="18"/>
          <w:lang w:eastAsia="zh-TW"/>
        </w:rPr>
        <w:t>等。</w:t>
      </w:r>
    </w:p>
  </w:footnote>
  <w:footnote w:id="3">
    <w:p w:rsidR="006467AF" w:rsidRPr="00BB1433" w:rsidRDefault="006467AF" w:rsidP="006467AF">
      <w:pPr>
        <w:pStyle w:val="ab"/>
        <w:spacing w:line="200" w:lineRule="exact"/>
        <w:rPr>
          <w:rFonts w:ascii="Times New Roman" w:hAnsi="Times New Roman"/>
          <w:sz w:val="18"/>
          <w:szCs w:val="18"/>
          <w:lang w:eastAsia="zh-TW"/>
        </w:rPr>
      </w:pPr>
      <w:r w:rsidRPr="00BB1433">
        <w:rPr>
          <w:rStyle w:val="ad"/>
          <w:rFonts w:ascii="Times New Roman" w:hAnsi="Times New Roman"/>
          <w:sz w:val="18"/>
          <w:szCs w:val="18"/>
        </w:rPr>
        <w:footnoteRef/>
      </w:r>
      <w:r w:rsidRPr="00BB1433">
        <w:rPr>
          <w:rFonts w:ascii="Times New Roman" w:hAnsi="Times New Roman"/>
          <w:sz w:val="18"/>
          <w:szCs w:val="18"/>
        </w:rPr>
        <w:t xml:space="preserve"> </w:t>
      </w:r>
      <w:proofErr w:type="gramStart"/>
      <w:r w:rsidRPr="00BB1433">
        <w:rPr>
          <w:rFonts w:ascii="Times New Roman" w:hAnsi="Times New Roman"/>
          <w:sz w:val="18"/>
          <w:szCs w:val="18"/>
          <w:lang w:eastAsia="zh-TW"/>
        </w:rPr>
        <w:t>Public Order Act 1986.</w:t>
      </w:r>
      <w:proofErr w:type="gramEnd"/>
    </w:p>
  </w:footnote>
  <w:footnote w:id="4">
    <w:p w:rsidR="006467AF" w:rsidRPr="00BB1433" w:rsidRDefault="006467AF" w:rsidP="006467AF">
      <w:pPr>
        <w:pStyle w:val="ab"/>
        <w:spacing w:line="200" w:lineRule="exact"/>
        <w:rPr>
          <w:rFonts w:ascii="Times New Roman" w:hAnsi="Times New Roman"/>
          <w:sz w:val="18"/>
          <w:szCs w:val="18"/>
          <w:lang w:eastAsia="zh-TW"/>
        </w:rPr>
      </w:pPr>
      <w:r w:rsidRPr="00BB1433">
        <w:rPr>
          <w:rStyle w:val="ad"/>
          <w:rFonts w:ascii="Times New Roman" w:hAnsi="Times New Roman"/>
          <w:sz w:val="18"/>
          <w:szCs w:val="18"/>
        </w:rPr>
        <w:footnoteRef/>
      </w:r>
      <w:r w:rsidRPr="00BB1433">
        <w:rPr>
          <w:rFonts w:ascii="Times New Roman" w:hAnsi="Times New Roman"/>
          <w:sz w:val="18"/>
          <w:szCs w:val="18"/>
        </w:rPr>
        <w:t xml:space="preserve"> </w:t>
      </w:r>
      <w:proofErr w:type="gramStart"/>
      <w:r w:rsidRPr="00BB1433">
        <w:rPr>
          <w:rFonts w:ascii="Times New Roman" w:hAnsi="Times New Roman"/>
          <w:sz w:val="18"/>
          <w:szCs w:val="18"/>
          <w:lang w:eastAsia="zh-TW"/>
        </w:rPr>
        <w:t>Crime and Disorder Act 1998.</w:t>
      </w:r>
      <w:proofErr w:type="gramEnd"/>
    </w:p>
  </w:footnote>
  <w:footnote w:id="5">
    <w:p w:rsidR="00C05276" w:rsidRPr="007A77D5" w:rsidRDefault="00C05276" w:rsidP="00C05276">
      <w:pPr>
        <w:pStyle w:val="ab"/>
        <w:rPr>
          <w:lang w:eastAsia="zh-TW"/>
        </w:rPr>
      </w:pPr>
      <w:r>
        <w:rPr>
          <w:rStyle w:val="ad"/>
        </w:rPr>
        <w:footnoteRef/>
      </w:r>
      <w:r>
        <w:rPr>
          <w:lang w:eastAsia="zh-TW"/>
        </w:rPr>
        <w:t xml:space="preserve"> </w:t>
      </w:r>
      <w:r>
        <w:rPr>
          <w:rFonts w:hint="eastAsia"/>
          <w:lang w:eastAsia="zh-TW"/>
        </w:rPr>
        <w:t>根據《香港懲教署年報</w:t>
      </w:r>
      <w:r>
        <w:rPr>
          <w:rFonts w:hint="eastAsia"/>
          <w:lang w:eastAsia="zh-TW"/>
        </w:rPr>
        <w:t>2014</w:t>
      </w:r>
      <w:r>
        <w:rPr>
          <w:rFonts w:hint="eastAsia"/>
          <w:lang w:eastAsia="zh-TW"/>
        </w:rPr>
        <w:t>》，</w:t>
      </w:r>
      <w:r>
        <w:rPr>
          <w:rFonts w:hint="eastAsia"/>
          <w:lang w:eastAsia="zh-TW"/>
        </w:rPr>
        <w:t>2014</w:t>
      </w:r>
      <w:r>
        <w:rPr>
          <w:rFonts w:hint="eastAsia"/>
          <w:lang w:eastAsia="zh-TW"/>
        </w:rPr>
        <w:t>年因各類罪行而被收納進入懲教處所的人數為</w:t>
      </w:r>
      <w:r>
        <w:rPr>
          <w:rFonts w:hint="eastAsia"/>
          <w:lang w:eastAsia="zh-TW"/>
        </w:rPr>
        <w:t>11,301</w:t>
      </w:r>
      <w:proofErr w:type="gramStart"/>
      <w:r>
        <w:rPr>
          <w:rFonts w:hint="eastAsia"/>
          <w:lang w:eastAsia="zh-TW"/>
        </w:rPr>
        <w:t>（</w:t>
      </w:r>
      <w:proofErr w:type="gramEnd"/>
      <w:r>
        <w:rPr>
          <w:rFonts w:hint="eastAsia"/>
          <w:lang w:eastAsia="zh-TW"/>
        </w:rPr>
        <w:t>2012</w:t>
      </w:r>
      <w:r>
        <w:rPr>
          <w:rFonts w:hint="eastAsia"/>
          <w:lang w:eastAsia="zh-TW"/>
        </w:rPr>
        <w:t>年：</w:t>
      </w:r>
      <w:r>
        <w:rPr>
          <w:rFonts w:hint="eastAsia"/>
          <w:lang w:eastAsia="zh-TW"/>
        </w:rPr>
        <w:t>13,454</w:t>
      </w:r>
      <w:r>
        <w:rPr>
          <w:rFonts w:hint="eastAsia"/>
          <w:lang w:eastAsia="zh-TW"/>
        </w:rPr>
        <w:t>；</w:t>
      </w:r>
      <w:r>
        <w:rPr>
          <w:rFonts w:hint="eastAsia"/>
          <w:lang w:eastAsia="zh-TW"/>
        </w:rPr>
        <w:t>2013</w:t>
      </w:r>
      <w:r>
        <w:rPr>
          <w:rFonts w:hint="eastAsia"/>
          <w:lang w:eastAsia="zh-TW"/>
        </w:rPr>
        <w:t>年：</w:t>
      </w:r>
      <w:r>
        <w:rPr>
          <w:rFonts w:hint="eastAsia"/>
          <w:lang w:eastAsia="zh-TW"/>
        </w:rPr>
        <w:t>13,110</w:t>
      </w:r>
      <w:proofErr w:type="gramStart"/>
      <w:r>
        <w:rPr>
          <w:rFonts w:hint="eastAsia"/>
          <w:lang w:eastAsia="zh-TW"/>
        </w:rPr>
        <w:t>）</w:t>
      </w:r>
      <w:proofErr w:type="gramEnd"/>
      <w:r>
        <w:rPr>
          <w:rFonts w:hint="eastAsia"/>
          <w:lang w:eastAsia="zh-TW"/>
        </w:rPr>
        <w:t>。</w:t>
      </w:r>
    </w:p>
  </w:footnote>
  <w:footnote w:id="6">
    <w:p w:rsidR="00C05276" w:rsidRPr="007A77D5" w:rsidRDefault="00C05276" w:rsidP="00C05276">
      <w:pPr>
        <w:pStyle w:val="ab"/>
        <w:rPr>
          <w:lang w:eastAsia="zh-TW"/>
        </w:rPr>
      </w:pPr>
      <w:r>
        <w:rPr>
          <w:rStyle w:val="ad"/>
        </w:rPr>
        <w:footnoteRef/>
      </w:r>
      <w:r>
        <w:rPr>
          <w:lang w:eastAsia="zh-TW"/>
        </w:rPr>
        <w:t xml:space="preserve"> </w:t>
      </w:r>
      <w:r>
        <w:rPr>
          <w:rFonts w:hint="eastAsia"/>
          <w:lang w:eastAsia="zh-TW"/>
        </w:rPr>
        <w:t>根據《香港懲教署年報</w:t>
      </w:r>
      <w:r>
        <w:rPr>
          <w:rFonts w:hint="eastAsia"/>
          <w:lang w:eastAsia="zh-TW"/>
        </w:rPr>
        <w:t>2014</w:t>
      </w:r>
      <w:r>
        <w:rPr>
          <w:rFonts w:hint="eastAsia"/>
          <w:lang w:eastAsia="zh-TW"/>
        </w:rPr>
        <w:t>》，</w:t>
      </w:r>
      <w:r>
        <w:rPr>
          <w:rFonts w:hint="eastAsia"/>
          <w:lang w:eastAsia="zh-TW"/>
        </w:rPr>
        <w:t>2014</w:t>
      </w:r>
      <w:r>
        <w:rPr>
          <w:rFonts w:hint="eastAsia"/>
          <w:lang w:eastAsia="zh-TW"/>
        </w:rPr>
        <w:t>年</w:t>
      </w:r>
      <w:proofErr w:type="gramStart"/>
      <w:r>
        <w:rPr>
          <w:rFonts w:hint="eastAsia"/>
          <w:lang w:eastAsia="zh-TW"/>
        </w:rPr>
        <w:t>各懲教院所羈</w:t>
      </w:r>
      <w:proofErr w:type="gramEnd"/>
      <w:r>
        <w:rPr>
          <w:rFonts w:hint="eastAsia"/>
          <w:lang w:eastAsia="zh-TW"/>
        </w:rPr>
        <w:t>管者的每日平均人數為</w:t>
      </w:r>
      <w:r>
        <w:rPr>
          <w:rFonts w:hint="eastAsia"/>
          <w:lang w:eastAsia="zh-TW"/>
        </w:rPr>
        <w:t>8,830</w:t>
      </w:r>
      <w:proofErr w:type="gramStart"/>
      <w:r>
        <w:rPr>
          <w:rFonts w:hint="eastAsia"/>
          <w:lang w:eastAsia="zh-TW"/>
        </w:rPr>
        <w:t>（</w:t>
      </w:r>
      <w:proofErr w:type="gramEnd"/>
      <w:r>
        <w:rPr>
          <w:rFonts w:hint="eastAsia"/>
          <w:lang w:eastAsia="zh-TW"/>
        </w:rPr>
        <w:t>2012</w:t>
      </w:r>
      <w:r>
        <w:rPr>
          <w:rFonts w:hint="eastAsia"/>
          <w:lang w:eastAsia="zh-TW"/>
        </w:rPr>
        <w:t>年：</w:t>
      </w:r>
      <w:r>
        <w:rPr>
          <w:rFonts w:hint="eastAsia"/>
          <w:lang w:eastAsia="zh-TW"/>
        </w:rPr>
        <w:t>9,285</w:t>
      </w:r>
      <w:r>
        <w:rPr>
          <w:rFonts w:hint="eastAsia"/>
          <w:lang w:eastAsia="zh-TW"/>
        </w:rPr>
        <w:t>；</w:t>
      </w:r>
      <w:r>
        <w:rPr>
          <w:rFonts w:hint="eastAsia"/>
          <w:lang w:eastAsia="zh-TW"/>
        </w:rPr>
        <w:t>2013</w:t>
      </w:r>
      <w:r>
        <w:rPr>
          <w:rFonts w:hint="eastAsia"/>
          <w:lang w:eastAsia="zh-TW"/>
        </w:rPr>
        <w:t>年：</w:t>
      </w:r>
      <w:r>
        <w:rPr>
          <w:rFonts w:hint="eastAsia"/>
          <w:lang w:eastAsia="zh-TW"/>
        </w:rPr>
        <w:t>9,240</w:t>
      </w:r>
      <w:proofErr w:type="gramStart"/>
      <w:r>
        <w:rPr>
          <w:rFonts w:hint="eastAsia"/>
          <w:lang w:eastAsia="zh-TW"/>
        </w:rPr>
        <w:t>）</w:t>
      </w:r>
      <w:proofErr w:type="gramEnd"/>
      <w:r>
        <w:rPr>
          <w:rFonts w:hint="eastAsia"/>
          <w:lang w:eastAsia="zh-TW"/>
        </w:rPr>
        <w:t>，因此估計年內刑滿離開懲教處所的人數超過</w:t>
      </w:r>
      <w:r>
        <w:rPr>
          <w:rFonts w:hint="eastAsia"/>
          <w:lang w:eastAsia="zh-TW"/>
        </w:rPr>
        <w:t>10,000</w:t>
      </w:r>
      <w:r>
        <w:rPr>
          <w:rFonts w:hint="eastAsia"/>
          <w:lang w:eastAsia="zh-TW"/>
        </w:rPr>
        <w:t>。</w:t>
      </w:r>
    </w:p>
  </w:footnote>
  <w:footnote w:id="7">
    <w:p w:rsidR="00C05276" w:rsidRPr="0026446F" w:rsidRDefault="00C05276" w:rsidP="00C05276">
      <w:pPr>
        <w:pStyle w:val="ab"/>
        <w:rPr>
          <w:i/>
        </w:rPr>
      </w:pPr>
      <w:r>
        <w:rPr>
          <w:rStyle w:val="ad"/>
        </w:rPr>
        <w:footnoteRef/>
      </w:r>
      <w:r w:rsidRPr="007E3C47">
        <w:t xml:space="preserve"> UK Home Office, </w:t>
      </w:r>
      <w:r w:rsidRPr="007E3C47">
        <w:rPr>
          <w:i/>
        </w:rPr>
        <w:t>Breaking the Circle – A Report of Review of the Rehabilitation of Offenders Act</w:t>
      </w:r>
      <w:r w:rsidRPr="007E3C47">
        <w:t>, July 2002.</w:t>
      </w:r>
      <w:r w:rsidRPr="0026446F">
        <w:rPr>
          <w:rFonts w:hint="eastAsia"/>
          <w:i/>
        </w:rPr>
        <w:t xml:space="preserve"> </w:t>
      </w:r>
    </w:p>
  </w:footnote>
  <w:footnote w:id="8">
    <w:p w:rsidR="00C05276" w:rsidRPr="0026446F" w:rsidRDefault="00C05276" w:rsidP="00C05276">
      <w:pPr>
        <w:pStyle w:val="ab"/>
      </w:pPr>
      <w:r>
        <w:rPr>
          <w:rStyle w:val="ad"/>
        </w:rPr>
        <w:footnoteRef/>
      </w:r>
      <w:r w:rsidRPr="007E3C47">
        <w:t xml:space="preserve"> Lam, Helen and Harcourt, Mark: 2003, ‘The Use of Criminal Record in Employment Decisions: The Rights of Ex-offenders, Employers and the Public’, </w:t>
      </w:r>
      <w:r w:rsidRPr="007E3C47">
        <w:rPr>
          <w:i/>
        </w:rPr>
        <w:t>Journal of Business Ethics</w:t>
      </w:r>
      <w:r w:rsidRPr="007E3C47">
        <w:t xml:space="preserve"> </w:t>
      </w:r>
      <w:r w:rsidRPr="007E3C47">
        <w:rPr>
          <w:b/>
        </w:rPr>
        <w:t>47</w:t>
      </w:r>
      <w:r w:rsidRPr="007E3C47">
        <w:t>, 237-252.</w:t>
      </w:r>
    </w:p>
  </w:footnote>
  <w:footnote w:id="9">
    <w:p w:rsidR="00C05276" w:rsidRPr="00040BDA" w:rsidRDefault="00C05276" w:rsidP="00C05276">
      <w:pPr>
        <w:pStyle w:val="ab"/>
      </w:pPr>
      <w:r>
        <w:rPr>
          <w:rStyle w:val="ad"/>
        </w:rPr>
        <w:footnoteRef/>
      </w:r>
      <w:r w:rsidRPr="007E3C47">
        <w:t xml:space="preserve"> </w:t>
      </w:r>
      <w:r>
        <w:rPr>
          <w:rFonts w:hint="eastAsia"/>
        </w:rPr>
        <w:t>見註</w:t>
      </w:r>
      <w:r>
        <w:rPr>
          <w:rFonts w:hint="eastAsia"/>
        </w:rPr>
        <w:t>3</w:t>
      </w:r>
      <w:r w:rsidRPr="007E3C47">
        <w:rPr>
          <w:rFonts w:hint="eastAsia"/>
        </w:rPr>
        <w:t>。</w:t>
      </w:r>
    </w:p>
  </w:footnote>
  <w:footnote w:id="10">
    <w:p w:rsidR="00C05276" w:rsidRPr="00C45EB6" w:rsidRDefault="00C05276" w:rsidP="00C05276">
      <w:pPr>
        <w:pStyle w:val="ab"/>
      </w:pPr>
      <w:r>
        <w:rPr>
          <w:rStyle w:val="ad"/>
        </w:rPr>
        <w:footnoteRef/>
      </w:r>
      <w:r w:rsidRPr="007E3C47">
        <w:t xml:space="preserve"> </w:t>
      </w:r>
      <w:r w:rsidRPr="007E3C47">
        <w:rPr>
          <w:rFonts w:hint="eastAsia"/>
        </w:rPr>
        <w:t>例如參考</w:t>
      </w:r>
      <w:r w:rsidRPr="007E3C47">
        <w:t>Open Society Institute: 2003, ‘Justice Reinvestment’, Occasional Papers from OSI-U.S. Programs, Vol. 3, No. 3, Nov. 2003.</w:t>
      </w:r>
    </w:p>
  </w:footnote>
  <w:footnote w:id="11">
    <w:p w:rsidR="00C05276" w:rsidRPr="0058138B" w:rsidRDefault="00C05276" w:rsidP="00C05276">
      <w:pPr>
        <w:pStyle w:val="ab"/>
      </w:pPr>
      <w:r>
        <w:rPr>
          <w:rStyle w:val="ad"/>
        </w:rPr>
        <w:footnoteRef/>
      </w:r>
      <w:r w:rsidRPr="007E3C47">
        <w:t xml:space="preserve"> UK HM Government, </w:t>
      </w:r>
      <w:r w:rsidRPr="007E3C47">
        <w:rPr>
          <w:i/>
        </w:rPr>
        <w:t>Reducing Re-Offending Through Skills and Employment: Next Steps</w:t>
      </w:r>
      <w:r w:rsidRPr="007E3C47">
        <w:t>, 2005, p. 5.</w:t>
      </w:r>
    </w:p>
  </w:footnote>
  <w:footnote w:id="12">
    <w:p w:rsidR="00C05276" w:rsidRDefault="00C05276" w:rsidP="00C05276">
      <w:pPr>
        <w:pStyle w:val="ab"/>
        <w:rPr>
          <w:lang w:eastAsia="zh-TW"/>
        </w:rPr>
      </w:pPr>
      <w:r>
        <w:rPr>
          <w:rStyle w:val="ad"/>
        </w:rPr>
        <w:footnoteRef/>
      </w:r>
      <w:r w:rsidRPr="007E3C47">
        <w:rPr>
          <w:lang w:eastAsia="zh-TW"/>
        </w:rPr>
        <w:t xml:space="preserve"> </w:t>
      </w:r>
      <w:r w:rsidRPr="007E3C47">
        <w:rPr>
          <w:rFonts w:hint="eastAsia"/>
          <w:lang w:eastAsia="zh-TW"/>
        </w:rPr>
        <w:t>由於香港政府公佈的財政資料有限，因此難以準確得知本港在處理一名更生人士再犯罪的所需開支數額為何；不過，</w:t>
      </w:r>
      <w:proofErr w:type="gramStart"/>
      <w:r w:rsidRPr="007E3C47">
        <w:rPr>
          <w:rFonts w:hint="eastAsia"/>
          <w:lang w:eastAsia="zh-TW"/>
        </w:rPr>
        <w:t>單就懲教</w:t>
      </w:r>
      <w:proofErr w:type="gramEnd"/>
      <w:r w:rsidRPr="007E3C47">
        <w:rPr>
          <w:rFonts w:hint="eastAsia"/>
          <w:lang w:eastAsia="zh-TW"/>
        </w:rPr>
        <w:t>署開支而言，於</w:t>
      </w:r>
      <w:r w:rsidRPr="007E3C47">
        <w:rPr>
          <w:lang w:eastAsia="zh-TW"/>
        </w:rPr>
        <w:t>20</w:t>
      </w:r>
      <w:r>
        <w:rPr>
          <w:rFonts w:hint="eastAsia"/>
          <w:lang w:eastAsia="zh-TW"/>
        </w:rPr>
        <w:t>14</w:t>
      </w:r>
      <w:r w:rsidRPr="007E3C47">
        <w:rPr>
          <w:lang w:eastAsia="zh-TW"/>
        </w:rPr>
        <w:t>-</w:t>
      </w:r>
      <w:proofErr w:type="gramStart"/>
      <w:r>
        <w:rPr>
          <w:rFonts w:hint="eastAsia"/>
          <w:lang w:eastAsia="zh-TW"/>
        </w:rPr>
        <w:t>15</w:t>
      </w:r>
      <w:proofErr w:type="gramEnd"/>
      <w:r w:rsidRPr="007E3C47">
        <w:rPr>
          <w:rFonts w:hint="eastAsia"/>
          <w:lang w:eastAsia="zh-TW"/>
        </w:rPr>
        <w:t>年度的修訂預算超過</w:t>
      </w:r>
      <w:r>
        <w:rPr>
          <w:rFonts w:hint="eastAsia"/>
          <w:lang w:eastAsia="zh-TW"/>
        </w:rPr>
        <w:t>34.5</w:t>
      </w:r>
      <w:r w:rsidRPr="007E3C47">
        <w:rPr>
          <w:rFonts w:hint="eastAsia"/>
          <w:lang w:eastAsia="zh-TW"/>
        </w:rPr>
        <w:t>億港元，以去年每日平均有</w:t>
      </w:r>
      <w:r>
        <w:rPr>
          <w:rFonts w:hint="eastAsia"/>
          <w:lang w:eastAsia="zh-TW"/>
        </w:rPr>
        <w:t>8</w:t>
      </w:r>
      <w:r w:rsidRPr="007E3C47">
        <w:rPr>
          <w:lang w:eastAsia="zh-TW"/>
        </w:rPr>
        <w:t>,</w:t>
      </w:r>
      <w:r>
        <w:rPr>
          <w:rFonts w:hint="eastAsia"/>
          <w:lang w:eastAsia="zh-TW"/>
        </w:rPr>
        <w:t>830</w:t>
      </w:r>
      <w:r w:rsidRPr="007E3C47">
        <w:rPr>
          <w:rFonts w:hint="eastAsia"/>
          <w:lang w:eastAsia="zh-TW"/>
        </w:rPr>
        <w:t>名被羈留囚犯計算，每一囚犯每年的開支超過</w:t>
      </w:r>
      <w:r>
        <w:rPr>
          <w:rFonts w:hint="eastAsia"/>
          <w:lang w:eastAsia="zh-TW"/>
        </w:rPr>
        <w:t>39</w:t>
      </w:r>
      <w:r w:rsidRPr="007E3C47">
        <w:rPr>
          <w:rFonts w:hint="eastAsia"/>
          <w:lang w:eastAsia="zh-TW"/>
        </w:rPr>
        <w:t>萬港元。</w:t>
      </w:r>
    </w:p>
  </w:footnote>
  <w:footnote w:id="13">
    <w:p w:rsidR="00C05276" w:rsidRPr="00380C6A" w:rsidRDefault="00C05276" w:rsidP="00C05276">
      <w:pPr>
        <w:pStyle w:val="ab"/>
      </w:pPr>
      <w:r>
        <w:rPr>
          <w:rStyle w:val="ad"/>
        </w:rPr>
        <w:footnoteRef/>
      </w:r>
      <w:r w:rsidRPr="007E3C47">
        <w:t xml:space="preserve"> Cullen, Francis: 2007, ‘Make Rehabilitation Corrections’ Guiding Paradigm’, </w:t>
      </w:r>
      <w:r w:rsidRPr="007E3C47">
        <w:rPr>
          <w:i/>
        </w:rPr>
        <w:t>Criminology &amp; Public Policy</w:t>
      </w:r>
      <w:r w:rsidRPr="007E3C47">
        <w:t>, Vol. 6, No. 4, pp 717-728.</w:t>
      </w:r>
    </w:p>
  </w:footnote>
  <w:footnote w:id="14">
    <w:p w:rsidR="00C05276" w:rsidRPr="00B02801" w:rsidRDefault="00C05276" w:rsidP="00C05276">
      <w:pPr>
        <w:pStyle w:val="ab"/>
      </w:pPr>
      <w:r>
        <w:rPr>
          <w:rStyle w:val="ad"/>
        </w:rPr>
        <w:footnoteRef/>
      </w:r>
      <w:r w:rsidRPr="007E3C47">
        <w:t xml:space="preserve"> </w:t>
      </w:r>
      <w:proofErr w:type="spellStart"/>
      <w:r w:rsidRPr="007E3C47">
        <w:t>Krisberg</w:t>
      </w:r>
      <w:proofErr w:type="spellEnd"/>
      <w:r w:rsidRPr="007E3C47">
        <w:t xml:space="preserve">, Barry and </w:t>
      </w:r>
      <w:proofErr w:type="spellStart"/>
      <w:r w:rsidRPr="007E3C47">
        <w:t>Marchionna</w:t>
      </w:r>
      <w:proofErr w:type="spellEnd"/>
      <w:r w:rsidRPr="007E3C47">
        <w:t xml:space="preserve">, Susan: 2006, ‘Attitudes of US Voters toward Prisoner Rehabilitation and </w:t>
      </w:r>
      <w:proofErr w:type="spellStart"/>
      <w:r w:rsidRPr="007E3C47">
        <w:t>Reentry</w:t>
      </w:r>
      <w:proofErr w:type="spellEnd"/>
      <w:r w:rsidRPr="007E3C47">
        <w:t xml:space="preserve"> Policies’, </w:t>
      </w:r>
      <w:r w:rsidRPr="007E3C47">
        <w:rPr>
          <w:i/>
        </w:rPr>
        <w:t>FOCUS</w:t>
      </w:r>
      <w:r w:rsidRPr="007E3C47">
        <w:t>, April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3F78"/>
    <w:multiLevelType w:val="hybridMultilevel"/>
    <w:tmpl w:val="78D605A6"/>
    <w:lvl w:ilvl="0" w:tplc="9586E0B8">
      <w:start w:val="11"/>
      <w:numFmt w:val="bullet"/>
      <w:lvlText w:val="-"/>
      <w:lvlJc w:val="left"/>
      <w:pPr>
        <w:ind w:left="360" w:hanging="360"/>
      </w:pPr>
      <w:rPr>
        <w:rFonts w:ascii="Calibri" w:eastAsia="新細明體"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AEC2E40"/>
    <w:multiLevelType w:val="hybridMultilevel"/>
    <w:tmpl w:val="20720ED8"/>
    <w:lvl w:ilvl="0" w:tplc="BBFEA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E2100"/>
    <w:multiLevelType w:val="hybridMultilevel"/>
    <w:tmpl w:val="C3B6D62C"/>
    <w:lvl w:ilvl="0" w:tplc="3C9A5970">
      <w:start w:val="1"/>
      <w:numFmt w:val="decimal"/>
      <w:lvlText w:val="(%1)"/>
      <w:lvlJc w:val="left"/>
      <w:pPr>
        <w:ind w:left="720" w:hanging="360"/>
      </w:pPr>
      <w:rPr>
        <w:rFonts w:hint="eastAsia"/>
      </w:rPr>
    </w:lvl>
    <w:lvl w:ilvl="1" w:tplc="0AE41640">
      <w:start w:val="3"/>
      <w:numFmt w:val="bullet"/>
      <w:lvlText w:val="-"/>
      <w:lvlJc w:val="left"/>
      <w:pPr>
        <w:ind w:left="1200" w:hanging="360"/>
      </w:pPr>
      <w:rPr>
        <w:rFonts w:ascii="Times New Roman" w:eastAsia="標楷體" w:hAnsi="Times New Roman" w:cs="Times New Roman"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138471D"/>
    <w:multiLevelType w:val="hybridMultilevel"/>
    <w:tmpl w:val="F06CE7B4"/>
    <w:lvl w:ilvl="0" w:tplc="F2729D6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4630905"/>
    <w:multiLevelType w:val="multilevel"/>
    <w:tmpl w:val="8BACEB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5360960"/>
    <w:multiLevelType w:val="hybridMultilevel"/>
    <w:tmpl w:val="FC9C7DB8"/>
    <w:lvl w:ilvl="0" w:tplc="BC3CDFB6">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162E45"/>
    <w:multiLevelType w:val="hybridMultilevel"/>
    <w:tmpl w:val="F0EAEBEA"/>
    <w:lvl w:ilvl="0" w:tplc="D10EA54C">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9E"/>
    <w:rsid w:val="00054F0B"/>
    <w:rsid w:val="00072C49"/>
    <w:rsid w:val="00196C9E"/>
    <w:rsid w:val="001A4BAD"/>
    <w:rsid w:val="002A6D3A"/>
    <w:rsid w:val="002B5DB8"/>
    <w:rsid w:val="003152CC"/>
    <w:rsid w:val="004D70DF"/>
    <w:rsid w:val="006467AF"/>
    <w:rsid w:val="00646926"/>
    <w:rsid w:val="00663971"/>
    <w:rsid w:val="00726B03"/>
    <w:rsid w:val="00791C8E"/>
    <w:rsid w:val="007B51E4"/>
    <w:rsid w:val="00862FC4"/>
    <w:rsid w:val="008D1C7C"/>
    <w:rsid w:val="009C1517"/>
    <w:rsid w:val="009D316E"/>
    <w:rsid w:val="00A757A1"/>
    <w:rsid w:val="00B45FC0"/>
    <w:rsid w:val="00BD3868"/>
    <w:rsid w:val="00C05276"/>
    <w:rsid w:val="00C070F5"/>
    <w:rsid w:val="00C91C03"/>
    <w:rsid w:val="00CA750A"/>
    <w:rsid w:val="00D6760A"/>
    <w:rsid w:val="00FD19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6C9E"/>
  </w:style>
  <w:style w:type="character" w:customStyle="1" w:styleId="a4">
    <w:name w:val="日期 字元"/>
    <w:basedOn w:val="a0"/>
    <w:link w:val="a3"/>
    <w:uiPriority w:val="99"/>
    <w:semiHidden/>
    <w:rsid w:val="00196C9E"/>
  </w:style>
  <w:style w:type="paragraph" w:styleId="a5">
    <w:name w:val="List Paragraph"/>
    <w:basedOn w:val="a"/>
    <w:uiPriority w:val="34"/>
    <w:qFormat/>
    <w:rsid w:val="00D6760A"/>
    <w:pPr>
      <w:ind w:leftChars="200" w:left="480"/>
    </w:pPr>
  </w:style>
  <w:style w:type="character" w:customStyle="1" w:styleId="apple-converted-space">
    <w:name w:val="apple-converted-space"/>
    <w:basedOn w:val="a0"/>
    <w:rsid w:val="00D6760A"/>
  </w:style>
  <w:style w:type="character" w:styleId="a6">
    <w:name w:val="Hyperlink"/>
    <w:basedOn w:val="a0"/>
    <w:uiPriority w:val="99"/>
    <w:semiHidden/>
    <w:unhideWhenUsed/>
    <w:rsid w:val="00D6760A"/>
    <w:rPr>
      <w:color w:val="0000FF"/>
      <w:u w:val="single"/>
    </w:rPr>
  </w:style>
  <w:style w:type="paragraph" w:styleId="a7">
    <w:name w:val="header"/>
    <w:basedOn w:val="a"/>
    <w:link w:val="a8"/>
    <w:uiPriority w:val="99"/>
    <w:unhideWhenUsed/>
    <w:rsid w:val="00CA750A"/>
    <w:pPr>
      <w:tabs>
        <w:tab w:val="center" w:pos="4153"/>
        <w:tab w:val="right" w:pos="8306"/>
      </w:tabs>
      <w:snapToGrid w:val="0"/>
    </w:pPr>
    <w:rPr>
      <w:sz w:val="20"/>
      <w:szCs w:val="20"/>
    </w:rPr>
  </w:style>
  <w:style w:type="character" w:customStyle="1" w:styleId="a8">
    <w:name w:val="頁首 字元"/>
    <w:basedOn w:val="a0"/>
    <w:link w:val="a7"/>
    <w:uiPriority w:val="99"/>
    <w:rsid w:val="00CA750A"/>
    <w:rPr>
      <w:sz w:val="20"/>
      <w:szCs w:val="20"/>
    </w:rPr>
  </w:style>
  <w:style w:type="paragraph" w:styleId="a9">
    <w:name w:val="footer"/>
    <w:basedOn w:val="a"/>
    <w:link w:val="aa"/>
    <w:uiPriority w:val="99"/>
    <w:unhideWhenUsed/>
    <w:rsid w:val="00CA750A"/>
    <w:pPr>
      <w:tabs>
        <w:tab w:val="center" w:pos="4153"/>
        <w:tab w:val="right" w:pos="8306"/>
      </w:tabs>
      <w:snapToGrid w:val="0"/>
    </w:pPr>
    <w:rPr>
      <w:sz w:val="20"/>
      <w:szCs w:val="20"/>
    </w:rPr>
  </w:style>
  <w:style w:type="character" w:customStyle="1" w:styleId="aa">
    <w:name w:val="頁尾 字元"/>
    <w:basedOn w:val="a0"/>
    <w:link w:val="a9"/>
    <w:uiPriority w:val="99"/>
    <w:rsid w:val="00CA750A"/>
    <w:rPr>
      <w:sz w:val="20"/>
      <w:szCs w:val="20"/>
    </w:rPr>
  </w:style>
  <w:style w:type="paragraph" w:styleId="ab">
    <w:name w:val="footnote text"/>
    <w:basedOn w:val="a"/>
    <w:link w:val="ac"/>
    <w:unhideWhenUsed/>
    <w:rsid w:val="006467AF"/>
    <w:pPr>
      <w:spacing w:after="0" w:line="240" w:lineRule="auto"/>
    </w:pPr>
    <w:rPr>
      <w:rFonts w:ascii="Calibri" w:eastAsia="新細明體" w:hAnsi="Calibri" w:cs="Times New Roman"/>
      <w:sz w:val="20"/>
      <w:szCs w:val="20"/>
      <w:lang w:val="en-GB"/>
    </w:rPr>
  </w:style>
  <w:style w:type="character" w:customStyle="1" w:styleId="ac">
    <w:name w:val="註腳文字 字元"/>
    <w:basedOn w:val="a0"/>
    <w:link w:val="ab"/>
    <w:rsid w:val="006467AF"/>
    <w:rPr>
      <w:rFonts w:ascii="Calibri" w:eastAsia="新細明體" w:hAnsi="Calibri" w:cs="Times New Roman"/>
      <w:sz w:val="20"/>
      <w:szCs w:val="20"/>
      <w:lang w:val="en-GB"/>
    </w:rPr>
  </w:style>
  <w:style w:type="character" w:styleId="ad">
    <w:name w:val="footnote reference"/>
    <w:unhideWhenUsed/>
    <w:rsid w:val="006467AF"/>
    <w:rPr>
      <w:vertAlign w:val="superscript"/>
    </w:rPr>
  </w:style>
  <w:style w:type="character" w:styleId="ae">
    <w:name w:val="Strong"/>
    <w:basedOn w:val="a0"/>
    <w:uiPriority w:val="22"/>
    <w:qFormat/>
    <w:rsid w:val="006467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6C9E"/>
  </w:style>
  <w:style w:type="character" w:customStyle="1" w:styleId="a4">
    <w:name w:val="日期 字元"/>
    <w:basedOn w:val="a0"/>
    <w:link w:val="a3"/>
    <w:uiPriority w:val="99"/>
    <w:semiHidden/>
    <w:rsid w:val="00196C9E"/>
  </w:style>
  <w:style w:type="paragraph" w:styleId="a5">
    <w:name w:val="List Paragraph"/>
    <w:basedOn w:val="a"/>
    <w:uiPriority w:val="34"/>
    <w:qFormat/>
    <w:rsid w:val="00D6760A"/>
    <w:pPr>
      <w:ind w:leftChars="200" w:left="480"/>
    </w:pPr>
  </w:style>
  <w:style w:type="character" w:customStyle="1" w:styleId="apple-converted-space">
    <w:name w:val="apple-converted-space"/>
    <w:basedOn w:val="a0"/>
    <w:rsid w:val="00D6760A"/>
  </w:style>
  <w:style w:type="character" w:styleId="a6">
    <w:name w:val="Hyperlink"/>
    <w:basedOn w:val="a0"/>
    <w:uiPriority w:val="99"/>
    <w:semiHidden/>
    <w:unhideWhenUsed/>
    <w:rsid w:val="00D6760A"/>
    <w:rPr>
      <w:color w:val="0000FF"/>
      <w:u w:val="single"/>
    </w:rPr>
  </w:style>
  <w:style w:type="paragraph" w:styleId="a7">
    <w:name w:val="header"/>
    <w:basedOn w:val="a"/>
    <w:link w:val="a8"/>
    <w:uiPriority w:val="99"/>
    <w:unhideWhenUsed/>
    <w:rsid w:val="00CA750A"/>
    <w:pPr>
      <w:tabs>
        <w:tab w:val="center" w:pos="4153"/>
        <w:tab w:val="right" w:pos="8306"/>
      </w:tabs>
      <w:snapToGrid w:val="0"/>
    </w:pPr>
    <w:rPr>
      <w:sz w:val="20"/>
      <w:szCs w:val="20"/>
    </w:rPr>
  </w:style>
  <w:style w:type="character" w:customStyle="1" w:styleId="a8">
    <w:name w:val="頁首 字元"/>
    <w:basedOn w:val="a0"/>
    <w:link w:val="a7"/>
    <w:uiPriority w:val="99"/>
    <w:rsid w:val="00CA750A"/>
    <w:rPr>
      <w:sz w:val="20"/>
      <w:szCs w:val="20"/>
    </w:rPr>
  </w:style>
  <w:style w:type="paragraph" w:styleId="a9">
    <w:name w:val="footer"/>
    <w:basedOn w:val="a"/>
    <w:link w:val="aa"/>
    <w:uiPriority w:val="99"/>
    <w:unhideWhenUsed/>
    <w:rsid w:val="00CA750A"/>
    <w:pPr>
      <w:tabs>
        <w:tab w:val="center" w:pos="4153"/>
        <w:tab w:val="right" w:pos="8306"/>
      </w:tabs>
      <w:snapToGrid w:val="0"/>
    </w:pPr>
    <w:rPr>
      <w:sz w:val="20"/>
      <w:szCs w:val="20"/>
    </w:rPr>
  </w:style>
  <w:style w:type="character" w:customStyle="1" w:styleId="aa">
    <w:name w:val="頁尾 字元"/>
    <w:basedOn w:val="a0"/>
    <w:link w:val="a9"/>
    <w:uiPriority w:val="99"/>
    <w:rsid w:val="00CA750A"/>
    <w:rPr>
      <w:sz w:val="20"/>
      <w:szCs w:val="20"/>
    </w:rPr>
  </w:style>
  <w:style w:type="paragraph" w:styleId="ab">
    <w:name w:val="footnote text"/>
    <w:basedOn w:val="a"/>
    <w:link w:val="ac"/>
    <w:unhideWhenUsed/>
    <w:rsid w:val="006467AF"/>
    <w:pPr>
      <w:spacing w:after="0" w:line="240" w:lineRule="auto"/>
    </w:pPr>
    <w:rPr>
      <w:rFonts w:ascii="Calibri" w:eastAsia="新細明體" w:hAnsi="Calibri" w:cs="Times New Roman"/>
      <w:sz w:val="20"/>
      <w:szCs w:val="20"/>
      <w:lang w:val="en-GB"/>
    </w:rPr>
  </w:style>
  <w:style w:type="character" w:customStyle="1" w:styleId="ac">
    <w:name w:val="註腳文字 字元"/>
    <w:basedOn w:val="a0"/>
    <w:link w:val="ab"/>
    <w:rsid w:val="006467AF"/>
    <w:rPr>
      <w:rFonts w:ascii="Calibri" w:eastAsia="新細明體" w:hAnsi="Calibri" w:cs="Times New Roman"/>
      <w:sz w:val="20"/>
      <w:szCs w:val="20"/>
      <w:lang w:val="en-GB"/>
    </w:rPr>
  </w:style>
  <w:style w:type="character" w:styleId="ad">
    <w:name w:val="footnote reference"/>
    <w:unhideWhenUsed/>
    <w:rsid w:val="006467AF"/>
    <w:rPr>
      <w:vertAlign w:val="superscript"/>
    </w:rPr>
  </w:style>
  <w:style w:type="character" w:styleId="ae">
    <w:name w:val="Strong"/>
    <w:basedOn w:val="a0"/>
    <w:uiPriority w:val="22"/>
    <w:qFormat/>
    <w:rsid w:val="00646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6F3C-5977-45E2-AA91-7C034D7B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Lin</dc:creator>
  <cp:lastModifiedBy>SZE_1</cp:lastModifiedBy>
  <cp:revision>3</cp:revision>
  <dcterms:created xsi:type="dcterms:W3CDTF">2017-06-13T08:42:00Z</dcterms:created>
  <dcterms:modified xsi:type="dcterms:W3CDTF">2017-06-13T08:42:00Z</dcterms:modified>
</cp:coreProperties>
</file>