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3E" w:rsidRPr="005F2CD0" w:rsidRDefault="00BE5ADB" w:rsidP="0047702C">
      <w:pPr>
        <w:spacing w:after="0" w:line="240" w:lineRule="exact"/>
        <w:jc w:val="center"/>
        <w:rPr>
          <w:rFonts w:ascii="Times New Roman" w:eastAsia="標楷體" w:hAnsi="Times New Roman" w:cs="Times New Roman"/>
          <w:b/>
          <w:sz w:val="27"/>
          <w:szCs w:val="27"/>
          <w:lang w:eastAsia="zh-TW"/>
        </w:rPr>
      </w:pPr>
      <w:r w:rsidRPr="005F2CD0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香港社區組織協會</w:t>
      </w:r>
      <w:r w:rsidRPr="005F2CD0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 xml:space="preserve"> </w:t>
      </w:r>
      <w:r w:rsidRPr="005F2CD0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回應</w:t>
      </w:r>
      <w:r w:rsidRPr="005F2CD0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 xml:space="preserve"> 2016</w:t>
      </w:r>
      <w:r w:rsidRPr="005F2CD0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年中期人口</w:t>
      </w:r>
      <w:r w:rsidR="002F7F88" w:rsidRPr="005F2CD0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統計</w:t>
      </w:r>
      <w:r w:rsidR="005F2CD0" w:rsidRPr="005F2CD0">
        <w:rPr>
          <w:rFonts w:eastAsia="標楷體"/>
          <w:b/>
          <w:color w:val="000000"/>
          <w:sz w:val="27"/>
          <w:szCs w:val="27"/>
        </w:rPr>
        <w:t>《</w:t>
      </w:r>
      <w:r w:rsidR="002F7F88" w:rsidRPr="005F2CD0">
        <w:rPr>
          <w:rFonts w:ascii="Times New Roman" w:eastAsia="標楷體" w:hAnsi="Times New Roman" w:cs="Times New Roman"/>
          <w:b/>
          <w:sz w:val="27"/>
          <w:szCs w:val="27"/>
        </w:rPr>
        <w:t>香港的住戶收入分布</w:t>
      </w:r>
      <w:r w:rsidR="005F2CD0" w:rsidRPr="005F2CD0">
        <w:rPr>
          <w:rFonts w:eastAsia="標楷體"/>
          <w:b/>
          <w:color w:val="000000"/>
          <w:sz w:val="27"/>
          <w:szCs w:val="27"/>
        </w:rPr>
        <w:t>》</w:t>
      </w:r>
      <w:r w:rsidR="005F2CD0" w:rsidRPr="005F2CD0">
        <w:rPr>
          <w:rFonts w:ascii="Times New Roman" w:eastAsia="標楷體" w:hAnsi="Times New Roman" w:cs="Times New Roman" w:hint="eastAsia"/>
          <w:b/>
          <w:sz w:val="27"/>
          <w:szCs w:val="27"/>
          <w:lang w:eastAsia="zh-TW"/>
        </w:rPr>
        <w:t>報告</w:t>
      </w:r>
      <w:r w:rsidRPr="005F2CD0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新聞稿</w:t>
      </w:r>
    </w:p>
    <w:p w:rsidR="00634993" w:rsidRPr="008D4005" w:rsidRDefault="00634993" w:rsidP="0047702C">
      <w:pPr>
        <w:spacing w:after="0" w:line="240" w:lineRule="exact"/>
        <w:jc w:val="center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BE5ADB" w:rsidRPr="008D4005" w:rsidRDefault="000A252B" w:rsidP="0047702C">
      <w:pPr>
        <w:pStyle w:val="Web"/>
        <w:spacing w:before="0" w:beforeAutospacing="0" w:after="0" w:afterAutospacing="0" w:line="240" w:lineRule="exact"/>
        <w:ind w:firstLine="720"/>
        <w:jc w:val="both"/>
        <w:textAlignment w:val="baseline"/>
        <w:rPr>
          <w:rFonts w:eastAsia="標楷體"/>
          <w:color w:val="000000"/>
          <w:spacing w:val="15"/>
        </w:rPr>
      </w:pPr>
      <w:r w:rsidRPr="008D4005">
        <w:rPr>
          <w:rFonts w:eastAsia="標楷體"/>
          <w:color w:val="000000"/>
          <w:spacing w:val="15"/>
        </w:rPr>
        <w:t>政府統計處今日進一步公佈</w:t>
      </w:r>
      <w:r w:rsidRPr="008D4005">
        <w:rPr>
          <w:rFonts w:eastAsia="標楷體"/>
          <w:color w:val="000000"/>
          <w:spacing w:val="15"/>
        </w:rPr>
        <w:t>2016</w:t>
      </w:r>
      <w:r w:rsidRPr="008D4005">
        <w:rPr>
          <w:rFonts w:eastAsia="標楷體"/>
          <w:color w:val="000000"/>
          <w:spacing w:val="15"/>
        </w:rPr>
        <w:t>年中期人口</w:t>
      </w:r>
      <w:r w:rsidR="00D9589C">
        <w:rPr>
          <w:rFonts w:eastAsia="標楷體"/>
          <w:color w:val="000000"/>
          <w:spacing w:val="15"/>
        </w:rPr>
        <w:t>統計數據，</w:t>
      </w:r>
      <w:r w:rsidRPr="008D4005">
        <w:rPr>
          <w:rFonts w:eastAsia="標楷體"/>
          <w:color w:val="000000"/>
          <w:spacing w:val="15"/>
        </w:rPr>
        <w:t>發表</w:t>
      </w:r>
      <w:proofErr w:type="gramStart"/>
      <w:r w:rsidR="00743353" w:rsidRPr="008D4005">
        <w:rPr>
          <w:rFonts w:eastAsia="標楷體"/>
          <w:color w:val="000000"/>
        </w:rPr>
        <w:t>《</w:t>
      </w:r>
      <w:proofErr w:type="gramEnd"/>
      <w:r w:rsidR="00743353" w:rsidRPr="008D4005">
        <w:rPr>
          <w:rFonts w:eastAsia="標楷體"/>
          <w:color w:val="000000"/>
        </w:rPr>
        <w:t>主題性報告：香港的住戶收入分布</w:t>
      </w:r>
      <w:proofErr w:type="gramStart"/>
      <w:r w:rsidR="00743353" w:rsidRPr="008D4005">
        <w:rPr>
          <w:rFonts w:eastAsia="標楷體"/>
          <w:color w:val="000000"/>
        </w:rPr>
        <w:t>》</w:t>
      </w:r>
      <w:proofErr w:type="gramEnd"/>
      <w:r w:rsidR="00743353" w:rsidRPr="008D4005">
        <w:rPr>
          <w:rFonts w:eastAsia="標楷體"/>
          <w:color w:val="000000"/>
        </w:rPr>
        <w:t>報告</w:t>
      </w:r>
      <w:r w:rsidRPr="008D4005">
        <w:rPr>
          <w:rFonts w:eastAsia="標楷體"/>
          <w:color w:val="000000"/>
          <w:spacing w:val="15"/>
        </w:rPr>
        <w:t>，當中</w:t>
      </w:r>
      <w:r w:rsidR="00210AC7">
        <w:rPr>
          <w:rFonts w:eastAsia="標楷體" w:hint="eastAsia"/>
          <w:color w:val="000000"/>
          <w:spacing w:val="15"/>
        </w:rPr>
        <w:t>公佈本港</w:t>
      </w:r>
      <w:r w:rsidR="00BE5ADB" w:rsidRPr="008D4005">
        <w:rPr>
          <w:rFonts w:eastAsia="標楷體"/>
          <w:color w:val="000000"/>
          <w:spacing w:val="15"/>
        </w:rPr>
        <w:t>貧富懸殊</w:t>
      </w:r>
      <w:proofErr w:type="gramStart"/>
      <w:r w:rsidRPr="008D4005">
        <w:rPr>
          <w:rFonts w:eastAsia="標楷體"/>
          <w:color w:val="000000"/>
          <w:spacing w:val="15"/>
        </w:rPr>
        <w:t>堅尼系</w:t>
      </w:r>
      <w:proofErr w:type="gramEnd"/>
      <w:r w:rsidRPr="008D4005">
        <w:rPr>
          <w:rFonts w:eastAsia="標楷體"/>
          <w:color w:val="000000"/>
          <w:spacing w:val="15"/>
        </w:rPr>
        <w:t>數</w:t>
      </w:r>
      <w:r w:rsidRPr="008D4005">
        <w:rPr>
          <w:rFonts w:eastAsia="標楷體"/>
          <w:color w:val="000000"/>
          <w:spacing w:val="15"/>
        </w:rPr>
        <w:t>(</w:t>
      </w:r>
      <w:proofErr w:type="gramStart"/>
      <w:r w:rsidR="00BE5ADB" w:rsidRPr="008D4005">
        <w:rPr>
          <w:rFonts w:eastAsia="標楷體"/>
          <w:color w:val="000000"/>
          <w:spacing w:val="15"/>
        </w:rPr>
        <w:t>介</w:t>
      </w:r>
      <w:proofErr w:type="gramEnd"/>
      <w:r w:rsidR="00BE5ADB" w:rsidRPr="008D4005">
        <w:rPr>
          <w:rFonts w:eastAsia="標楷體"/>
          <w:color w:val="000000"/>
          <w:spacing w:val="15"/>
        </w:rPr>
        <w:t>乎</w:t>
      </w:r>
      <w:r w:rsidR="00BE5ADB" w:rsidRPr="008D4005">
        <w:rPr>
          <w:rFonts w:eastAsia="標楷體"/>
          <w:color w:val="000000"/>
          <w:spacing w:val="15"/>
        </w:rPr>
        <w:t>0</w:t>
      </w:r>
      <w:r w:rsidR="00BE5ADB" w:rsidRPr="008D4005">
        <w:rPr>
          <w:rFonts w:eastAsia="標楷體"/>
          <w:color w:val="000000"/>
          <w:spacing w:val="15"/>
        </w:rPr>
        <w:t>和</w:t>
      </w:r>
      <w:r w:rsidR="00BE5ADB" w:rsidRPr="008D4005">
        <w:rPr>
          <w:rFonts w:eastAsia="標楷體"/>
          <w:color w:val="000000"/>
          <w:spacing w:val="15"/>
        </w:rPr>
        <w:t>1</w:t>
      </w:r>
      <w:proofErr w:type="gramStart"/>
      <w:r w:rsidR="00BE5ADB" w:rsidRPr="008D4005">
        <w:rPr>
          <w:rFonts w:eastAsia="標楷體"/>
          <w:color w:val="000000"/>
          <w:spacing w:val="15"/>
        </w:rPr>
        <w:t>中間，</w:t>
      </w:r>
      <w:proofErr w:type="gramEnd"/>
      <w:r w:rsidR="00BE5ADB" w:rsidRPr="008D4005">
        <w:rPr>
          <w:rFonts w:eastAsia="標楷體"/>
          <w:color w:val="000000"/>
          <w:spacing w:val="15"/>
        </w:rPr>
        <w:t>數值愈大，反映住戶收入差距愈大，收入越不平等</w:t>
      </w:r>
      <w:r w:rsidRPr="008D4005">
        <w:rPr>
          <w:rFonts w:eastAsia="標楷體"/>
          <w:color w:val="000000"/>
          <w:spacing w:val="15"/>
        </w:rPr>
        <w:t>)</w:t>
      </w:r>
      <w:r w:rsidR="00210AC7">
        <w:rPr>
          <w:rFonts w:eastAsia="標楷體"/>
          <w:color w:val="000000"/>
          <w:spacing w:val="15"/>
        </w:rPr>
        <w:t>，</w:t>
      </w:r>
      <w:r w:rsidRPr="008D4005">
        <w:rPr>
          <w:rFonts w:eastAsia="標楷體"/>
          <w:color w:val="000000"/>
          <w:spacing w:val="15"/>
        </w:rPr>
        <w:t>顯示本港</w:t>
      </w:r>
      <w:proofErr w:type="gramStart"/>
      <w:r w:rsidRPr="008D4005">
        <w:rPr>
          <w:rFonts w:eastAsia="標楷體"/>
          <w:color w:val="000000"/>
          <w:spacing w:val="15"/>
        </w:rPr>
        <w:t>堅尼系</w:t>
      </w:r>
      <w:proofErr w:type="gramEnd"/>
      <w:r w:rsidRPr="008D4005">
        <w:rPr>
          <w:rFonts w:eastAsia="標楷體"/>
          <w:color w:val="000000"/>
          <w:spacing w:val="15"/>
        </w:rPr>
        <w:t>數於</w:t>
      </w:r>
      <w:r w:rsidRPr="008D4005">
        <w:rPr>
          <w:rFonts w:eastAsia="標楷體"/>
          <w:color w:val="000000"/>
          <w:spacing w:val="15"/>
        </w:rPr>
        <w:t>2016</w:t>
      </w:r>
      <w:r w:rsidRPr="008D4005">
        <w:rPr>
          <w:rFonts w:eastAsia="標楷體"/>
          <w:color w:val="000000"/>
          <w:spacing w:val="15"/>
        </w:rPr>
        <w:t>年已上升已</w:t>
      </w:r>
      <w:r w:rsidRPr="008D4005">
        <w:rPr>
          <w:rFonts w:eastAsia="標楷體"/>
          <w:color w:val="000000"/>
          <w:spacing w:val="15"/>
        </w:rPr>
        <w:t>0.539</w:t>
      </w:r>
      <w:r w:rsidRPr="008D4005">
        <w:rPr>
          <w:rFonts w:eastAsia="標楷體"/>
          <w:color w:val="000000"/>
          <w:spacing w:val="15"/>
        </w:rPr>
        <w:t>，</w:t>
      </w:r>
      <w:r w:rsidR="00BE5ADB" w:rsidRPr="008D4005">
        <w:rPr>
          <w:rFonts w:eastAsia="標楷體"/>
          <w:color w:val="000000"/>
          <w:spacing w:val="15"/>
        </w:rPr>
        <w:t>反映</w:t>
      </w:r>
      <w:r w:rsidRPr="008D4005">
        <w:rPr>
          <w:rFonts w:eastAsia="標楷體"/>
          <w:color w:val="000000"/>
          <w:spacing w:val="15"/>
        </w:rPr>
        <w:t>本港</w:t>
      </w:r>
      <w:r w:rsidR="00BE5ADB" w:rsidRPr="008D4005">
        <w:rPr>
          <w:rFonts w:eastAsia="標楷體"/>
          <w:color w:val="000000"/>
          <w:spacing w:val="15"/>
        </w:rPr>
        <w:t>貧富懸殊惡化。</w:t>
      </w:r>
      <w:r w:rsidRPr="008D4005">
        <w:rPr>
          <w:rFonts w:eastAsia="標楷體"/>
          <w:color w:val="000000"/>
          <w:spacing w:val="15"/>
        </w:rPr>
        <w:t>為此，本會回應如下</w:t>
      </w:r>
      <w:r w:rsidRPr="008D4005">
        <w:rPr>
          <w:rFonts w:eastAsia="標楷體"/>
          <w:color w:val="000000"/>
          <w:spacing w:val="15"/>
        </w:rPr>
        <w:t>:</w:t>
      </w:r>
    </w:p>
    <w:tbl>
      <w:tblPr>
        <w:tblStyle w:val="a3"/>
        <w:tblpPr w:leftFromText="180" w:rightFromText="180" w:vertAnchor="text" w:horzAnchor="page" w:tblpX="2202" w:tblpY="74"/>
        <w:tblW w:w="0" w:type="auto"/>
        <w:tblLook w:val="04A0" w:firstRow="1" w:lastRow="0" w:firstColumn="1" w:lastColumn="0" w:noHBand="0" w:noVBand="1"/>
      </w:tblPr>
      <w:tblGrid>
        <w:gridCol w:w="2927"/>
        <w:gridCol w:w="1482"/>
        <w:gridCol w:w="1482"/>
        <w:gridCol w:w="1482"/>
        <w:gridCol w:w="1483"/>
      </w:tblGrid>
      <w:tr w:rsidR="00D16375" w:rsidRPr="008D4005" w:rsidTr="00D16375">
        <w:tc>
          <w:tcPr>
            <w:tcW w:w="2927" w:type="dxa"/>
            <w:shd w:val="clear" w:color="auto" w:fill="D9D9D9" w:themeFill="background1" w:themeFillShade="D9"/>
          </w:tcPr>
          <w:p w:rsidR="00D16375" w:rsidRPr="008D4005" w:rsidRDefault="00D16375" w:rsidP="00D16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pacing w:val="15"/>
                <w:sz w:val="24"/>
                <w:szCs w:val="24"/>
              </w:rPr>
              <w:t>堅尼系數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D16375" w:rsidRPr="008D4005" w:rsidRDefault="00D16375" w:rsidP="00D16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2001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D16375" w:rsidRPr="008D4005" w:rsidRDefault="00D16375" w:rsidP="00D16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2006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D16375" w:rsidRPr="008D4005" w:rsidRDefault="00D16375" w:rsidP="00D16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2011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D16375" w:rsidRPr="008D4005" w:rsidRDefault="00D16375" w:rsidP="00D16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2016</w:t>
            </w:r>
          </w:p>
        </w:tc>
      </w:tr>
      <w:tr w:rsidR="00D16375" w:rsidRPr="008D4005" w:rsidTr="00D16375">
        <w:tc>
          <w:tcPr>
            <w:tcW w:w="2927" w:type="dxa"/>
          </w:tcPr>
          <w:p w:rsidR="00D16375" w:rsidRPr="008D4005" w:rsidRDefault="00D16375" w:rsidP="00D16375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按原本住戶收入計算</w:t>
            </w:r>
          </w:p>
        </w:tc>
        <w:tc>
          <w:tcPr>
            <w:tcW w:w="1482" w:type="dxa"/>
          </w:tcPr>
          <w:p w:rsidR="00D16375" w:rsidRPr="008D4005" w:rsidRDefault="00D16375" w:rsidP="00D16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0.525</w:t>
            </w:r>
          </w:p>
        </w:tc>
        <w:tc>
          <w:tcPr>
            <w:tcW w:w="1482" w:type="dxa"/>
          </w:tcPr>
          <w:p w:rsidR="00D16375" w:rsidRPr="008D4005" w:rsidRDefault="00D16375" w:rsidP="00D16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0.533</w:t>
            </w:r>
          </w:p>
        </w:tc>
        <w:tc>
          <w:tcPr>
            <w:tcW w:w="1482" w:type="dxa"/>
          </w:tcPr>
          <w:p w:rsidR="00D16375" w:rsidRPr="008D4005" w:rsidRDefault="00D16375" w:rsidP="00D16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0.537</w:t>
            </w:r>
          </w:p>
        </w:tc>
        <w:tc>
          <w:tcPr>
            <w:tcW w:w="1483" w:type="dxa"/>
          </w:tcPr>
          <w:p w:rsidR="00D16375" w:rsidRPr="008D4005" w:rsidRDefault="00D16375" w:rsidP="00D16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0.539</w:t>
            </w:r>
          </w:p>
        </w:tc>
      </w:tr>
      <w:tr w:rsidR="00D16375" w:rsidRPr="008D4005" w:rsidTr="00D16375">
        <w:tc>
          <w:tcPr>
            <w:tcW w:w="2927" w:type="dxa"/>
          </w:tcPr>
          <w:p w:rsidR="00D16375" w:rsidRPr="008D4005" w:rsidRDefault="00D16375" w:rsidP="00D16375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除稅及福利轉移後</w:t>
            </w:r>
          </w:p>
        </w:tc>
        <w:tc>
          <w:tcPr>
            <w:tcW w:w="1482" w:type="dxa"/>
          </w:tcPr>
          <w:p w:rsidR="00D16375" w:rsidRPr="008D4005" w:rsidRDefault="00D16375" w:rsidP="00D16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0.470</w:t>
            </w:r>
          </w:p>
        </w:tc>
        <w:tc>
          <w:tcPr>
            <w:tcW w:w="1482" w:type="dxa"/>
          </w:tcPr>
          <w:p w:rsidR="00D16375" w:rsidRPr="008D4005" w:rsidRDefault="00D16375" w:rsidP="00D16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0.475</w:t>
            </w:r>
          </w:p>
        </w:tc>
        <w:tc>
          <w:tcPr>
            <w:tcW w:w="1482" w:type="dxa"/>
          </w:tcPr>
          <w:p w:rsidR="00D16375" w:rsidRPr="008D4005" w:rsidRDefault="00D16375" w:rsidP="00D16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0.475</w:t>
            </w:r>
          </w:p>
        </w:tc>
        <w:tc>
          <w:tcPr>
            <w:tcW w:w="1483" w:type="dxa"/>
          </w:tcPr>
          <w:p w:rsidR="00D16375" w:rsidRPr="008D4005" w:rsidRDefault="00D16375" w:rsidP="00D16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400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0.473</w:t>
            </w:r>
          </w:p>
        </w:tc>
      </w:tr>
    </w:tbl>
    <w:p w:rsidR="00634993" w:rsidRPr="008D4005" w:rsidRDefault="00634993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color w:val="000000"/>
          <w:spacing w:val="15"/>
        </w:rPr>
      </w:pPr>
    </w:p>
    <w:p w:rsidR="00CC798B" w:rsidRPr="008D4005" w:rsidRDefault="00CC798B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color w:val="000000"/>
          <w:spacing w:val="15"/>
        </w:rPr>
      </w:pPr>
      <w:bookmarkStart w:id="0" w:name="_GoBack"/>
      <w:bookmarkEnd w:id="0"/>
    </w:p>
    <w:p w:rsidR="00CC798B" w:rsidRPr="008D4005" w:rsidRDefault="00CC798B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color w:val="000000"/>
          <w:spacing w:val="15"/>
        </w:rPr>
      </w:pPr>
    </w:p>
    <w:p w:rsidR="00CC798B" w:rsidRPr="008D4005" w:rsidRDefault="00CC798B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color w:val="000000"/>
          <w:spacing w:val="15"/>
        </w:rPr>
      </w:pPr>
    </w:p>
    <w:p w:rsidR="00C21D5E" w:rsidRPr="008D4005" w:rsidRDefault="000B1DD0" w:rsidP="0047702C">
      <w:pPr>
        <w:pStyle w:val="Web"/>
        <w:numPr>
          <w:ilvl w:val="0"/>
          <w:numId w:val="1"/>
        </w:numPr>
        <w:spacing w:before="0" w:beforeAutospacing="0" w:after="0" w:afterAutospacing="0" w:line="240" w:lineRule="exact"/>
        <w:jc w:val="both"/>
        <w:textAlignment w:val="baseline"/>
        <w:rPr>
          <w:rFonts w:eastAsia="標楷體"/>
          <w:color w:val="000000"/>
          <w:spacing w:val="15"/>
        </w:rPr>
      </w:pPr>
      <w:r>
        <w:rPr>
          <w:rFonts w:eastAsia="標楷體"/>
          <w:color w:val="000000"/>
          <w:spacing w:val="15"/>
        </w:rPr>
        <w:t>本港</w:t>
      </w:r>
      <w:proofErr w:type="gramStart"/>
      <w:r>
        <w:rPr>
          <w:rFonts w:eastAsia="標楷體"/>
          <w:color w:val="000000"/>
          <w:spacing w:val="15"/>
        </w:rPr>
        <w:t>堅尼系</w:t>
      </w:r>
      <w:proofErr w:type="gramEnd"/>
      <w:r>
        <w:rPr>
          <w:rFonts w:eastAsia="標楷體"/>
          <w:color w:val="000000"/>
          <w:spacing w:val="15"/>
        </w:rPr>
        <w:t>數創歷年來新高，</w:t>
      </w:r>
      <w:r w:rsidR="000A252B" w:rsidRPr="008D4005">
        <w:rPr>
          <w:rFonts w:eastAsia="標楷體"/>
          <w:color w:val="000000"/>
          <w:spacing w:val="15"/>
        </w:rPr>
        <w:t>反映貧富懸殊情況多年來持續加劇及惡化，</w:t>
      </w:r>
      <w:r w:rsidR="000A252B" w:rsidRPr="008D4005">
        <w:rPr>
          <w:rFonts w:eastAsia="標楷體"/>
          <w:b/>
          <w:color w:val="000000"/>
          <w:spacing w:val="15"/>
        </w:rPr>
        <w:t>由於同期香港的經濟發展急速增長，本港社會財富大幅增長，</w:t>
      </w:r>
      <w:r w:rsidR="00C21D5E" w:rsidRPr="008D4005">
        <w:rPr>
          <w:rFonts w:eastAsia="標楷體"/>
          <w:b/>
          <w:color w:val="000000"/>
          <w:spacing w:val="15"/>
        </w:rPr>
        <w:t>但低收入家庭及人士均未能受惠，</w:t>
      </w:r>
      <w:r>
        <w:rPr>
          <w:rFonts w:eastAsia="標楷體" w:hint="eastAsia"/>
          <w:b/>
          <w:color w:val="000000"/>
          <w:spacing w:val="15"/>
        </w:rPr>
        <w:t>未能</w:t>
      </w:r>
      <w:r w:rsidR="00C21D5E" w:rsidRPr="008D4005">
        <w:rPr>
          <w:rFonts w:eastAsia="標楷體"/>
          <w:b/>
          <w:color w:val="000000"/>
          <w:spacing w:val="15"/>
        </w:rPr>
        <w:t>分享經濟增長成果。</w:t>
      </w:r>
    </w:p>
    <w:p w:rsidR="00634993" w:rsidRPr="008D4005" w:rsidRDefault="00634993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color w:val="000000"/>
          <w:spacing w:val="15"/>
        </w:rPr>
      </w:pPr>
    </w:p>
    <w:p w:rsidR="00AF1DD4" w:rsidRPr="00ED2BA6" w:rsidRDefault="00C21D5E" w:rsidP="0047702C">
      <w:pPr>
        <w:pStyle w:val="Web"/>
        <w:numPr>
          <w:ilvl w:val="0"/>
          <w:numId w:val="1"/>
        </w:numPr>
        <w:spacing w:before="0" w:beforeAutospacing="0" w:after="0" w:afterAutospacing="0" w:line="240" w:lineRule="exact"/>
        <w:jc w:val="both"/>
        <w:textAlignment w:val="baseline"/>
        <w:rPr>
          <w:rFonts w:eastAsia="標楷體"/>
          <w:b/>
        </w:rPr>
      </w:pPr>
      <w:proofErr w:type="gramStart"/>
      <w:r w:rsidRPr="00ED2BA6">
        <w:rPr>
          <w:rFonts w:eastAsia="標楷體"/>
          <w:color w:val="000000"/>
          <w:spacing w:val="15"/>
        </w:rPr>
        <w:t>此外，</w:t>
      </w:r>
      <w:proofErr w:type="gramEnd"/>
      <w:r w:rsidRPr="00ED2BA6">
        <w:rPr>
          <w:rFonts w:eastAsia="標楷體"/>
          <w:color w:val="000000"/>
          <w:spacing w:val="15"/>
        </w:rPr>
        <w:t>雖然</w:t>
      </w:r>
      <w:proofErr w:type="gramStart"/>
      <w:r w:rsidRPr="00ED2BA6">
        <w:rPr>
          <w:rFonts w:eastAsia="標楷體"/>
          <w:color w:val="000000"/>
          <w:spacing w:val="15"/>
        </w:rPr>
        <w:t>在</w:t>
      </w:r>
      <w:r w:rsidR="00BE5ADB" w:rsidRPr="00ED2BA6">
        <w:rPr>
          <w:rFonts w:eastAsia="標楷體"/>
          <w:color w:val="000000"/>
          <w:spacing w:val="15"/>
        </w:rPr>
        <w:t>除稅及</w:t>
      </w:r>
      <w:proofErr w:type="gramEnd"/>
      <w:r w:rsidR="00BE5ADB" w:rsidRPr="00ED2BA6">
        <w:rPr>
          <w:rFonts w:eastAsia="標楷體"/>
          <w:color w:val="000000"/>
          <w:spacing w:val="15"/>
        </w:rPr>
        <w:t>福利轉移後的</w:t>
      </w:r>
      <w:proofErr w:type="gramStart"/>
      <w:r w:rsidR="00BE5ADB" w:rsidRPr="00ED2BA6">
        <w:rPr>
          <w:rFonts w:eastAsia="標楷體"/>
          <w:color w:val="000000"/>
          <w:spacing w:val="15"/>
        </w:rPr>
        <w:t>堅尼系</w:t>
      </w:r>
      <w:proofErr w:type="gramEnd"/>
      <w:r w:rsidR="00BE5ADB" w:rsidRPr="00ED2BA6">
        <w:rPr>
          <w:rFonts w:eastAsia="標楷體"/>
          <w:color w:val="000000"/>
          <w:spacing w:val="15"/>
        </w:rPr>
        <w:t>數，</w:t>
      </w:r>
      <w:r w:rsidRPr="00ED2BA6">
        <w:rPr>
          <w:rFonts w:eastAsia="標楷體"/>
          <w:color w:val="000000"/>
          <w:spacing w:val="15"/>
        </w:rPr>
        <w:t>於</w:t>
      </w:r>
      <w:r w:rsidRPr="00ED2BA6">
        <w:rPr>
          <w:rFonts w:eastAsia="標楷體"/>
          <w:color w:val="000000"/>
          <w:spacing w:val="15"/>
        </w:rPr>
        <w:t>2016</w:t>
      </w:r>
      <w:r w:rsidRPr="00ED2BA6">
        <w:rPr>
          <w:rFonts w:eastAsia="標楷體"/>
          <w:color w:val="000000"/>
          <w:spacing w:val="15"/>
        </w:rPr>
        <w:t>年為</w:t>
      </w:r>
      <w:r w:rsidR="00BE5ADB" w:rsidRPr="00ED2BA6">
        <w:rPr>
          <w:rFonts w:eastAsia="標楷體"/>
          <w:color w:val="000000"/>
          <w:spacing w:val="15"/>
        </w:rPr>
        <w:t>0.473</w:t>
      </w:r>
      <w:r w:rsidR="00BE5ADB" w:rsidRPr="00ED2BA6">
        <w:rPr>
          <w:rFonts w:eastAsia="標楷體"/>
          <w:color w:val="000000"/>
          <w:spacing w:val="15"/>
        </w:rPr>
        <w:t>，</w:t>
      </w:r>
      <w:r w:rsidRPr="00ED2BA6">
        <w:rPr>
          <w:rFonts w:eastAsia="標楷體"/>
          <w:color w:val="000000"/>
          <w:spacing w:val="15"/>
        </w:rPr>
        <w:t>較</w:t>
      </w:r>
      <w:r w:rsidR="00BE5ADB" w:rsidRPr="00ED2BA6">
        <w:rPr>
          <w:rFonts w:eastAsia="標楷體"/>
          <w:color w:val="000000"/>
          <w:spacing w:val="15"/>
        </w:rPr>
        <w:t>2011</w:t>
      </w:r>
      <w:r w:rsidR="00BE5ADB" w:rsidRPr="00ED2BA6">
        <w:rPr>
          <w:rFonts w:eastAsia="標楷體"/>
          <w:color w:val="000000"/>
          <w:spacing w:val="15"/>
        </w:rPr>
        <w:t>年</w:t>
      </w:r>
      <w:r w:rsidRPr="00ED2BA6">
        <w:rPr>
          <w:rFonts w:eastAsia="標楷體"/>
          <w:color w:val="000000"/>
          <w:spacing w:val="15"/>
        </w:rPr>
        <w:t>的</w:t>
      </w:r>
      <w:r w:rsidRPr="00ED2BA6">
        <w:rPr>
          <w:rFonts w:eastAsia="標楷體"/>
          <w:color w:val="000000"/>
          <w:spacing w:val="15"/>
        </w:rPr>
        <w:t>0.475</w:t>
      </w:r>
      <w:r w:rsidRPr="00ED2BA6">
        <w:rPr>
          <w:rFonts w:eastAsia="標楷體"/>
          <w:color w:val="000000"/>
          <w:spacing w:val="15"/>
        </w:rPr>
        <w:t>稍為</w:t>
      </w:r>
      <w:r w:rsidR="00BE5ADB" w:rsidRPr="00ED2BA6">
        <w:rPr>
          <w:rFonts w:eastAsia="標楷體"/>
          <w:color w:val="000000"/>
          <w:spacing w:val="15"/>
        </w:rPr>
        <w:t>下跌</w:t>
      </w:r>
      <w:r w:rsidR="00BE5ADB" w:rsidRPr="00ED2BA6">
        <w:rPr>
          <w:rFonts w:eastAsia="標楷體"/>
          <w:color w:val="000000"/>
          <w:spacing w:val="15"/>
        </w:rPr>
        <w:t>0.002</w:t>
      </w:r>
      <w:r w:rsidRPr="00ED2BA6">
        <w:rPr>
          <w:rFonts w:eastAsia="標楷體"/>
          <w:color w:val="000000"/>
          <w:spacing w:val="15"/>
        </w:rPr>
        <w:t>，</w:t>
      </w:r>
      <w:r w:rsidR="004D2D51" w:rsidRPr="00ED2BA6">
        <w:rPr>
          <w:rFonts w:eastAsia="標楷體" w:hint="eastAsia"/>
          <w:color w:val="000000"/>
          <w:spacing w:val="15"/>
        </w:rPr>
        <w:t>政府政策介入後</w:t>
      </w:r>
      <w:proofErr w:type="gramStart"/>
      <w:r w:rsidR="004D2D51" w:rsidRPr="00ED2BA6">
        <w:rPr>
          <w:rFonts w:eastAsia="標楷體"/>
          <w:color w:val="000000"/>
          <w:spacing w:val="15"/>
        </w:rPr>
        <w:t>堅尼系</w:t>
      </w:r>
      <w:proofErr w:type="gramEnd"/>
      <w:r w:rsidR="004D2D51" w:rsidRPr="00ED2BA6">
        <w:rPr>
          <w:rFonts w:eastAsia="標楷體"/>
          <w:color w:val="000000"/>
          <w:spacing w:val="15"/>
        </w:rPr>
        <w:t>數</w:t>
      </w:r>
      <w:r w:rsidR="004D2D51" w:rsidRPr="00ED2BA6">
        <w:rPr>
          <w:rFonts w:eastAsia="標楷體" w:hint="eastAsia"/>
          <w:color w:val="000000"/>
          <w:spacing w:val="15"/>
        </w:rPr>
        <w:t>人僅由</w:t>
      </w:r>
      <w:r w:rsidR="004D2D51" w:rsidRPr="00ED2BA6">
        <w:rPr>
          <w:rFonts w:eastAsia="標楷體" w:hint="eastAsia"/>
          <w:color w:val="000000"/>
          <w:spacing w:val="15"/>
        </w:rPr>
        <w:t>0.062(2011</w:t>
      </w:r>
      <w:r w:rsidR="004D2D51" w:rsidRPr="00ED2BA6">
        <w:rPr>
          <w:rFonts w:eastAsia="標楷體" w:hint="eastAsia"/>
          <w:color w:val="000000"/>
          <w:spacing w:val="15"/>
        </w:rPr>
        <w:t>年</w:t>
      </w:r>
      <w:r w:rsidR="004D2D51" w:rsidRPr="00ED2BA6">
        <w:rPr>
          <w:rFonts w:eastAsia="標楷體" w:hint="eastAsia"/>
          <w:color w:val="000000"/>
          <w:spacing w:val="15"/>
        </w:rPr>
        <w:t>)</w:t>
      </w:r>
      <w:r w:rsidR="004D2D51" w:rsidRPr="00ED2BA6">
        <w:rPr>
          <w:rFonts w:eastAsia="標楷體" w:hint="eastAsia"/>
          <w:color w:val="000000"/>
          <w:spacing w:val="15"/>
        </w:rPr>
        <w:t>增加</w:t>
      </w:r>
      <w:r w:rsidR="004D2D51" w:rsidRPr="00ED2BA6">
        <w:rPr>
          <w:rFonts w:eastAsia="標楷體" w:hint="eastAsia"/>
          <w:color w:val="000000"/>
          <w:spacing w:val="15"/>
        </w:rPr>
        <w:t>0.066(2016</w:t>
      </w:r>
      <w:r w:rsidR="004D2D51" w:rsidRPr="00ED2BA6">
        <w:rPr>
          <w:rFonts w:eastAsia="標楷體" w:hint="eastAsia"/>
          <w:color w:val="000000"/>
          <w:spacing w:val="15"/>
        </w:rPr>
        <w:t>年</w:t>
      </w:r>
      <w:r w:rsidR="004D2D51" w:rsidRPr="00ED2BA6">
        <w:rPr>
          <w:rFonts w:eastAsia="標楷體" w:hint="eastAsia"/>
          <w:color w:val="000000"/>
          <w:spacing w:val="15"/>
        </w:rPr>
        <w:t>)</w:t>
      </w:r>
      <w:r w:rsidR="004D2D51" w:rsidRPr="00ED2BA6">
        <w:rPr>
          <w:rFonts w:eastAsia="標楷體" w:hint="eastAsia"/>
          <w:color w:val="000000"/>
          <w:spacing w:val="15"/>
        </w:rPr>
        <w:t>，減幅並不</w:t>
      </w:r>
      <w:r w:rsidR="00704156" w:rsidRPr="00ED2BA6">
        <w:rPr>
          <w:rFonts w:eastAsia="標楷體"/>
          <w:color w:val="000000"/>
          <w:spacing w:val="15"/>
        </w:rPr>
        <w:t>顯</w:t>
      </w:r>
      <w:r w:rsidR="004D2D51" w:rsidRPr="00ED2BA6">
        <w:rPr>
          <w:rFonts w:eastAsia="標楷體" w:hint="eastAsia"/>
          <w:color w:val="000000"/>
          <w:spacing w:val="15"/>
        </w:rPr>
        <w:t>著，顯示</w:t>
      </w:r>
      <w:r w:rsidR="00704156" w:rsidRPr="00ED2BA6">
        <w:rPr>
          <w:rFonts w:eastAsia="標楷體"/>
          <w:color w:val="000000"/>
          <w:spacing w:val="15"/>
        </w:rPr>
        <w:t>政府扶貧政策</w:t>
      </w:r>
      <w:r w:rsidR="00911B93" w:rsidRPr="00ED2BA6">
        <w:rPr>
          <w:rFonts w:eastAsia="標楷體" w:hint="eastAsia"/>
          <w:color w:val="000000"/>
          <w:spacing w:val="15"/>
        </w:rPr>
        <w:t>未有大力</w:t>
      </w:r>
      <w:r w:rsidR="0096261F" w:rsidRPr="00ED2BA6">
        <w:rPr>
          <w:rFonts w:eastAsia="標楷體" w:hint="eastAsia"/>
          <w:color w:val="000000"/>
          <w:spacing w:val="15"/>
        </w:rPr>
        <w:t>縮</w:t>
      </w:r>
      <w:r w:rsidR="00704156" w:rsidRPr="00ED2BA6">
        <w:rPr>
          <w:rFonts w:eastAsia="標楷體"/>
          <w:color w:val="000000"/>
          <w:spacing w:val="15"/>
        </w:rPr>
        <w:t>窄貧富差距。</w:t>
      </w:r>
      <w:r w:rsidR="00704156" w:rsidRPr="00ED2BA6">
        <w:rPr>
          <w:rFonts w:eastAsia="標楷體"/>
          <w:b/>
          <w:color w:val="000000"/>
          <w:spacing w:val="15"/>
        </w:rPr>
        <w:t>然而，</w:t>
      </w:r>
      <w:r w:rsidR="0080376A" w:rsidRPr="00ED2BA6">
        <w:rPr>
          <w:rFonts w:eastAsia="標楷體"/>
          <w:b/>
          <w:color w:val="000000"/>
          <w:spacing w:val="15"/>
        </w:rPr>
        <w:t>縱使</w:t>
      </w:r>
      <w:r w:rsidR="009F6DA5" w:rsidRPr="00ED2BA6">
        <w:rPr>
          <w:rFonts w:eastAsia="標楷體"/>
          <w:b/>
          <w:color w:val="000000"/>
          <w:spacing w:val="15"/>
        </w:rPr>
        <w:t>政府政策介入後</w:t>
      </w:r>
      <w:r w:rsidR="0080376A" w:rsidRPr="00ED2BA6">
        <w:rPr>
          <w:rFonts w:eastAsia="標楷體"/>
          <w:b/>
          <w:color w:val="000000"/>
          <w:spacing w:val="15"/>
        </w:rPr>
        <w:t>，</w:t>
      </w:r>
      <w:proofErr w:type="gramStart"/>
      <w:r w:rsidR="0080376A" w:rsidRPr="00ED2BA6">
        <w:rPr>
          <w:rFonts w:eastAsia="標楷體"/>
          <w:b/>
          <w:color w:val="000000"/>
          <w:spacing w:val="15"/>
        </w:rPr>
        <w:t>堅尼系</w:t>
      </w:r>
      <w:proofErr w:type="gramEnd"/>
      <w:r w:rsidR="0080376A" w:rsidRPr="00ED2BA6">
        <w:rPr>
          <w:rFonts w:eastAsia="標楷體"/>
          <w:b/>
          <w:color w:val="000000"/>
          <w:spacing w:val="15"/>
        </w:rPr>
        <w:t>數仍</w:t>
      </w:r>
      <w:r w:rsidR="009F6DA5" w:rsidRPr="00ED2BA6">
        <w:rPr>
          <w:rFonts w:eastAsia="標楷體"/>
          <w:b/>
          <w:color w:val="000000"/>
          <w:spacing w:val="15"/>
        </w:rPr>
        <w:t>遠高於</w:t>
      </w:r>
      <w:r w:rsidR="00BE5ADB" w:rsidRPr="00ED2BA6">
        <w:rPr>
          <w:rFonts w:eastAsia="標楷體"/>
          <w:b/>
          <w:color w:val="000000"/>
          <w:spacing w:val="15"/>
        </w:rPr>
        <w:t>0.4</w:t>
      </w:r>
      <w:r w:rsidR="009F6DA5" w:rsidRPr="00ED2BA6">
        <w:rPr>
          <w:rFonts w:eastAsia="標楷體"/>
          <w:b/>
          <w:color w:val="000000"/>
          <w:spacing w:val="15"/>
        </w:rPr>
        <w:t>的</w:t>
      </w:r>
      <w:r w:rsidR="00BE5ADB" w:rsidRPr="00ED2BA6">
        <w:rPr>
          <w:rFonts w:eastAsia="標楷體"/>
          <w:b/>
          <w:color w:val="000000"/>
          <w:spacing w:val="15"/>
        </w:rPr>
        <w:t>警戒線</w:t>
      </w:r>
      <w:r w:rsidR="0080376A" w:rsidRPr="00ED2BA6">
        <w:rPr>
          <w:rFonts w:eastAsia="標楷體"/>
          <w:b/>
          <w:color w:val="000000"/>
          <w:spacing w:val="15"/>
        </w:rPr>
        <w:t>以上的高水平，情況令人憂慮。</w:t>
      </w:r>
    </w:p>
    <w:p w:rsidR="00ED2BA6" w:rsidRPr="00ED2BA6" w:rsidRDefault="00ED2BA6" w:rsidP="00ED2BA6">
      <w:pPr>
        <w:pStyle w:val="Web"/>
        <w:spacing w:before="0" w:beforeAutospacing="0" w:after="0" w:afterAutospacing="0" w:line="240" w:lineRule="exact"/>
        <w:jc w:val="both"/>
        <w:textAlignment w:val="baseline"/>
        <w:rPr>
          <w:rFonts w:eastAsia="標楷體"/>
          <w:b/>
        </w:rPr>
      </w:pPr>
    </w:p>
    <w:p w:rsidR="00010ECC" w:rsidRPr="008D4005" w:rsidRDefault="00010ECC" w:rsidP="0047702C">
      <w:pPr>
        <w:pStyle w:val="Web"/>
        <w:numPr>
          <w:ilvl w:val="0"/>
          <w:numId w:val="1"/>
        </w:numPr>
        <w:spacing w:before="0" w:beforeAutospacing="0" w:after="0" w:afterAutospacing="0" w:line="240" w:lineRule="exact"/>
        <w:jc w:val="both"/>
        <w:textAlignment w:val="baseline"/>
        <w:rPr>
          <w:rFonts w:eastAsia="標楷體"/>
          <w:b/>
        </w:rPr>
      </w:pPr>
      <w:r w:rsidRPr="008D4005">
        <w:rPr>
          <w:rFonts w:eastAsia="標楷體"/>
        </w:rPr>
        <w:t>若以十等分組別作分析，雖然第一個十等分組別（即職業收入最低的</w:t>
      </w:r>
      <w:r w:rsidRPr="008D4005">
        <w:rPr>
          <w:rFonts w:eastAsia="標楷體"/>
        </w:rPr>
        <w:t>10%</w:t>
      </w:r>
      <w:r w:rsidR="00F726F9" w:rsidRPr="008D4005">
        <w:rPr>
          <w:rFonts w:eastAsia="標楷體"/>
        </w:rPr>
        <w:t>工作人口）</w:t>
      </w:r>
      <w:r w:rsidRPr="008D4005">
        <w:rPr>
          <w:rFonts w:eastAsia="標楷體"/>
        </w:rPr>
        <w:t>累計增長最為顯著，達</w:t>
      </w:r>
      <w:r w:rsidRPr="008D4005">
        <w:rPr>
          <w:rFonts w:eastAsia="標楷體"/>
        </w:rPr>
        <w:t>46.6%</w:t>
      </w:r>
      <w:r w:rsidRPr="008D4005">
        <w:rPr>
          <w:rFonts w:eastAsia="標楷體"/>
        </w:rPr>
        <w:t>，而第二</w:t>
      </w:r>
      <w:proofErr w:type="gramStart"/>
      <w:r w:rsidRPr="008D4005">
        <w:rPr>
          <w:rFonts w:eastAsia="標楷體"/>
        </w:rPr>
        <w:t>個</w:t>
      </w:r>
      <w:proofErr w:type="gramEnd"/>
      <w:r w:rsidRPr="008D4005">
        <w:rPr>
          <w:rFonts w:eastAsia="標楷體"/>
        </w:rPr>
        <w:t>十等分組別的增長亦有</w:t>
      </w:r>
      <w:r w:rsidRPr="008D4005">
        <w:rPr>
          <w:rFonts w:eastAsia="標楷體"/>
        </w:rPr>
        <w:t>29.6%</w:t>
      </w:r>
      <w:r w:rsidRPr="008D4005">
        <w:rPr>
          <w:rFonts w:eastAsia="標楷體"/>
        </w:rPr>
        <w:t>，</w:t>
      </w:r>
      <w:r w:rsidR="00DC21BD" w:rsidRPr="008D4005">
        <w:rPr>
          <w:rFonts w:eastAsia="標楷體"/>
        </w:rPr>
        <w:t>而</w:t>
      </w:r>
      <w:r w:rsidRPr="008D4005">
        <w:rPr>
          <w:rFonts w:eastAsia="標楷體"/>
        </w:rPr>
        <w:t>第九及第十個十等分組別的增長則分別為</w:t>
      </w:r>
      <w:r w:rsidRPr="008D4005">
        <w:rPr>
          <w:rFonts w:eastAsia="標楷體"/>
        </w:rPr>
        <w:t>23.3%</w:t>
      </w:r>
      <w:r w:rsidRPr="008D4005">
        <w:rPr>
          <w:rFonts w:eastAsia="標楷體"/>
        </w:rPr>
        <w:t>及</w:t>
      </w:r>
      <w:r w:rsidRPr="008D4005">
        <w:rPr>
          <w:rFonts w:eastAsia="標楷體"/>
        </w:rPr>
        <w:t>23.6%</w:t>
      </w:r>
      <w:r w:rsidR="00DC21BD" w:rsidRPr="008D4005">
        <w:rPr>
          <w:rFonts w:eastAsia="標楷體"/>
        </w:rPr>
        <w:t>，</w:t>
      </w:r>
      <w:proofErr w:type="gramStart"/>
      <w:r w:rsidR="00DC21BD" w:rsidRPr="008D4005">
        <w:rPr>
          <w:rFonts w:eastAsia="標楷體"/>
          <w:b/>
        </w:rPr>
        <w:t>惟低收入</w:t>
      </w:r>
      <w:proofErr w:type="gramEnd"/>
      <w:r w:rsidR="00DC21BD" w:rsidRPr="008D4005">
        <w:rPr>
          <w:rFonts w:eastAsia="標楷體"/>
          <w:b/>
        </w:rPr>
        <w:t>組群在職業收入實質增加</w:t>
      </w:r>
      <w:proofErr w:type="gramStart"/>
      <w:r w:rsidR="00DC21BD" w:rsidRPr="008D4005">
        <w:rPr>
          <w:rFonts w:eastAsia="標楷體"/>
          <w:b/>
        </w:rPr>
        <w:t>金額均遠低於</w:t>
      </w:r>
      <w:proofErr w:type="gramEnd"/>
      <w:r w:rsidR="00DC21BD" w:rsidRPr="008D4005">
        <w:rPr>
          <w:rFonts w:eastAsia="標楷體"/>
          <w:b/>
        </w:rPr>
        <w:t>高收入組群</w:t>
      </w:r>
      <w:r w:rsidR="00A43C6E" w:rsidRPr="008D4005">
        <w:rPr>
          <w:rFonts w:eastAsia="標楷體"/>
          <w:b/>
        </w:rPr>
        <w:t>實質增加金額</w:t>
      </w:r>
      <w:r w:rsidR="00DC21BD" w:rsidRPr="008D4005">
        <w:rPr>
          <w:rFonts w:eastAsia="標楷體"/>
          <w:b/>
        </w:rPr>
        <w:t>(</w:t>
      </w:r>
      <w:r w:rsidR="00F726F9" w:rsidRPr="008D4005">
        <w:rPr>
          <w:rFonts w:eastAsia="標楷體" w:hint="eastAsia"/>
          <w:b/>
        </w:rPr>
        <w:t>例如</w:t>
      </w:r>
      <w:r w:rsidR="00F726F9" w:rsidRPr="008D4005">
        <w:rPr>
          <w:rFonts w:eastAsia="標楷體" w:hint="eastAsia"/>
          <w:b/>
        </w:rPr>
        <w:t>:</w:t>
      </w:r>
      <w:r w:rsidR="00F726F9" w:rsidRPr="008D4005">
        <w:rPr>
          <w:rFonts w:eastAsia="標楷體" w:hint="eastAsia"/>
          <w:b/>
        </w:rPr>
        <w:t>第一組別收入過去</w:t>
      </w:r>
      <w:r w:rsidR="00F726F9" w:rsidRPr="008D4005">
        <w:rPr>
          <w:rFonts w:eastAsia="標楷體" w:hint="eastAsia"/>
          <w:b/>
        </w:rPr>
        <w:t>10</w:t>
      </w:r>
      <w:r w:rsidR="00F726F9" w:rsidRPr="008D4005">
        <w:rPr>
          <w:rFonts w:eastAsia="標楷體" w:hint="eastAsia"/>
          <w:b/>
        </w:rPr>
        <w:t>年增加</w:t>
      </w:r>
      <w:r w:rsidR="00F726F9" w:rsidRPr="008D4005">
        <w:rPr>
          <w:rFonts w:eastAsia="標楷體" w:hint="eastAsia"/>
          <w:b/>
        </w:rPr>
        <w:t>2,250</w:t>
      </w:r>
      <w:r w:rsidR="00F726F9" w:rsidRPr="008D4005">
        <w:rPr>
          <w:rFonts w:eastAsia="標楷體" w:hint="eastAsia"/>
          <w:b/>
        </w:rPr>
        <w:t>元，第十組別則增加</w:t>
      </w:r>
      <w:r w:rsidR="00F726F9" w:rsidRPr="008D4005">
        <w:rPr>
          <w:rFonts w:eastAsia="標楷體" w:hint="eastAsia"/>
          <w:b/>
        </w:rPr>
        <w:t>23,000</w:t>
      </w:r>
      <w:r w:rsidR="00F726F9" w:rsidRPr="008D4005">
        <w:rPr>
          <w:rFonts w:eastAsia="標楷體" w:hint="eastAsia"/>
          <w:b/>
        </w:rPr>
        <w:t>元</w:t>
      </w:r>
      <w:r w:rsidR="00F726F9" w:rsidRPr="008D4005">
        <w:rPr>
          <w:rFonts w:eastAsia="標楷體" w:hint="eastAsia"/>
          <w:b/>
        </w:rPr>
        <w:t>)</w:t>
      </w:r>
      <w:r w:rsidR="00F726F9" w:rsidRPr="008D4005">
        <w:rPr>
          <w:rFonts w:eastAsia="標楷體" w:hint="eastAsia"/>
          <w:b/>
        </w:rPr>
        <w:t>。</w:t>
      </w:r>
      <w:proofErr w:type="gramStart"/>
      <w:r w:rsidR="00F726F9" w:rsidRPr="008D4005">
        <w:rPr>
          <w:rFonts w:eastAsia="標楷體" w:hint="eastAsia"/>
          <w:b/>
        </w:rPr>
        <w:t>再者，</w:t>
      </w:r>
      <w:proofErr w:type="gramEnd"/>
      <w:r w:rsidR="00F726F9" w:rsidRPr="008D4005">
        <w:rPr>
          <w:rFonts w:eastAsia="標楷體" w:hint="eastAsia"/>
          <w:b/>
        </w:rPr>
        <w:t>反映低收入組群在社會整體財富增長中所</w:t>
      </w:r>
      <w:proofErr w:type="gramStart"/>
      <w:r w:rsidR="00F726F9" w:rsidRPr="008D4005">
        <w:rPr>
          <w:rFonts w:eastAsia="標楷體" w:hint="eastAsia"/>
          <w:b/>
        </w:rPr>
        <w:t>佔</w:t>
      </w:r>
      <w:proofErr w:type="gramEnd"/>
      <w:r w:rsidR="00F726F9" w:rsidRPr="008D4005">
        <w:rPr>
          <w:rFonts w:eastAsia="標楷體" w:hint="eastAsia"/>
          <w:b/>
        </w:rPr>
        <w:t>比例每況愈下，亦說明</w:t>
      </w:r>
      <w:r w:rsidR="00DC21BD" w:rsidRPr="008D4005">
        <w:rPr>
          <w:rFonts w:eastAsia="標楷體"/>
          <w:b/>
        </w:rPr>
        <w:t>貧窮懸殊</w:t>
      </w:r>
      <w:r w:rsidR="00F726F9" w:rsidRPr="008D4005">
        <w:rPr>
          <w:rFonts w:eastAsia="標楷體" w:hint="eastAsia"/>
          <w:b/>
        </w:rPr>
        <w:t>加劇</w:t>
      </w:r>
      <w:r w:rsidR="00DC21BD" w:rsidRPr="008D4005">
        <w:rPr>
          <w:rFonts w:eastAsia="標楷體"/>
          <w:b/>
        </w:rPr>
        <w:t>。</w:t>
      </w:r>
      <w:r w:rsidR="00F726F9" w:rsidRPr="008D4005">
        <w:rPr>
          <w:rFonts w:eastAsia="標楷體" w:hint="eastAsia"/>
          <w:b/>
        </w:rPr>
        <w:t>(</w:t>
      </w:r>
      <w:r w:rsidR="00F726F9" w:rsidRPr="008D4005">
        <w:rPr>
          <w:rFonts w:eastAsia="標楷體" w:hint="eastAsia"/>
          <w:b/>
        </w:rPr>
        <w:t>見下圖</w:t>
      </w:r>
      <w:r w:rsidR="00F726F9" w:rsidRPr="008D4005">
        <w:rPr>
          <w:rFonts w:eastAsia="標楷體" w:hint="eastAsia"/>
          <w:b/>
        </w:rPr>
        <w:t>)</w:t>
      </w:r>
    </w:p>
    <w:p w:rsidR="00EB38EE" w:rsidRPr="008D4005" w:rsidRDefault="00173030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  <w:r w:rsidRPr="008D4005">
        <w:rPr>
          <w:noProof/>
        </w:rPr>
        <w:drawing>
          <wp:anchor distT="0" distB="0" distL="114300" distR="114300" simplePos="0" relativeHeight="251658240" behindDoc="1" locked="0" layoutInCell="1" allowOverlap="1" wp14:anchorId="7746D61E" wp14:editId="73913468">
            <wp:simplePos x="0" y="0"/>
            <wp:positionH relativeFrom="column">
              <wp:posOffset>1132205</wp:posOffset>
            </wp:positionH>
            <wp:positionV relativeFrom="paragraph">
              <wp:posOffset>41275</wp:posOffset>
            </wp:positionV>
            <wp:extent cx="4407535" cy="2861945"/>
            <wp:effectExtent l="0" t="0" r="0" b="0"/>
            <wp:wrapTight wrapText="bothSides">
              <wp:wrapPolygon edited="0">
                <wp:start x="0" y="0"/>
                <wp:lineTo x="0" y="21423"/>
                <wp:lineTo x="21472" y="21423"/>
                <wp:lineTo x="2147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4"/>
                    <a:stretch/>
                  </pic:blipFill>
                  <pic:spPr bwMode="auto">
                    <a:xfrm>
                      <a:off x="0" y="0"/>
                      <a:ext cx="4407535" cy="286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F9" w:rsidRDefault="00F726F9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173030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  <w:r w:rsidRPr="008D4005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80418" wp14:editId="5C31D5EC">
                <wp:simplePos x="0" y="0"/>
                <wp:positionH relativeFrom="column">
                  <wp:posOffset>1821815</wp:posOffset>
                </wp:positionH>
                <wp:positionV relativeFrom="paragraph">
                  <wp:posOffset>84719</wp:posOffset>
                </wp:positionV>
                <wp:extent cx="2216150" cy="189230"/>
                <wp:effectExtent l="19050" t="19050" r="12700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189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143.45pt;margin-top:6.65pt;width:174.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" fillcolor="white [3201]" strokecolor="red" strokeweight="3pt">
                <v:fill opacity="0"/>
              </v:rect>
            </w:pict>
          </mc:Fallback>
        </mc:AlternateContent>
      </w: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8D4005" w:rsidRDefault="00173030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  <w:r w:rsidRPr="008D4005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3EE57" wp14:editId="55AB582B">
                <wp:simplePos x="0" y="0"/>
                <wp:positionH relativeFrom="column">
                  <wp:posOffset>1847215</wp:posOffset>
                </wp:positionH>
                <wp:positionV relativeFrom="paragraph">
                  <wp:posOffset>33284</wp:posOffset>
                </wp:positionV>
                <wp:extent cx="2190750" cy="198120"/>
                <wp:effectExtent l="19050" t="19050" r="1905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8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145.45pt;margin-top:2.6pt;width:172.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" fillcolor="white [3201]" strokecolor="red" strokeweight="3pt">
                <v:fill opacity="0"/>
              </v:rect>
            </w:pict>
          </mc:Fallback>
        </mc:AlternateContent>
      </w:r>
    </w:p>
    <w:p w:rsidR="008D4005" w:rsidRDefault="008D4005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173030" w:rsidRPr="008D4005" w:rsidRDefault="00173030" w:rsidP="0047702C">
      <w:pPr>
        <w:pStyle w:val="Web"/>
        <w:spacing w:before="0" w:beforeAutospacing="0" w:after="0" w:afterAutospacing="0" w:line="240" w:lineRule="exact"/>
        <w:ind w:left="360"/>
        <w:jc w:val="both"/>
        <w:textAlignment w:val="baseline"/>
        <w:rPr>
          <w:rFonts w:eastAsia="標楷體"/>
          <w:b/>
        </w:rPr>
      </w:pPr>
    </w:p>
    <w:p w:rsidR="00BE5ADB" w:rsidRPr="008D4005" w:rsidRDefault="0080376A" w:rsidP="0047702C">
      <w:pPr>
        <w:pStyle w:val="Web"/>
        <w:numPr>
          <w:ilvl w:val="0"/>
          <w:numId w:val="1"/>
        </w:numPr>
        <w:spacing w:before="0" w:beforeAutospacing="0" w:after="0" w:afterAutospacing="0" w:line="240" w:lineRule="exact"/>
        <w:jc w:val="both"/>
        <w:textAlignment w:val="baseline"/>
        <w:rPr>
          <w:rFonts w:eastAsia="標楷體"/>
          <w:b/>
        </w:rPr>
      </w:pPr>
      <w:r w:rsidRPr="008D4005">
        <w:rPr>
          <w:rFonts w:eastAsia="標楷體"/>
          <w:color w:val="000000"/>
          <w:spacing w:val="15"/>
        </w:rPr>
        <w:t>雖然自</w:t>
      </w:r>
      <w:r w:rsidRPr="008D4005">
        <w:rPr>
          <w:rFonts w:eastAsia="標楷體"/>
          <w:color w:val="000000"/>
          <w:spacing w:val="15"/>
        </w:rPr>
        <w:t>2012</w:t>
      </w:r>
      <w:r w:rsidRPr="008D4005">
        <w:rPr>
          <w:rFonts w:eastAsia="標楷體"/>
          <w:color w:val="000000"/>
          <w:spacing w:val="15"/>
        </w:rPr>
        <w:t>年起特區政府再次成立扶貧委員會，訂立官方貧窮線及推出各項扶貧措施，然而貧富差距仍處於高水平；</w:t>
      </w:r>
      <w:r w:rsidR="00EB38EE" w:rsidRPr="008D4005">
        <w:rPr>
          <w:rFonts w:eastAsia="標楷體" w:hint="eastAsia"/>
          <w:color w:val="000000"/>
          <w:spacing w:val="15"/>
        </w:rPr>
        <w:t>顯示</w:t>
      </w:r>
      <w:r w:rsidRPr="008D4005">
        <w:rPr>
          <w:rFonts w:eastAsia="標楷體"/>
          <w:b/>
          <w:color w:val="000000"/>
          <w:spacing w:val="15"/>
        </w:rPr>
        <w:t>特區政府未有</w:t>
      </w:r>
      <w:r w:rsidR="00634993" w:rsidRPr="008D4005">
        <w:rPr>
          <w:rFonts w:eastAsia="標楷體" w:hint="eastAsia"/>
          <w:b/>
          <w:color w:val="000000"/>
          <w:spacing w:val="15"/>
        </w:rPr>
        <w:t>大力</w:t>
      </w:r>
      <w:r w:rsidRPr="008D4005">
        <w:rPr>
          <w:rFonts w:eastAsia="標楷體"/>
          <w:b/>
          <w:color w:val="000000"/>
          <w:spacing w:val="15"/>
        </w:rPr>
        <w:t>訂立長遠縮窄貧富差距的目標，以指導各項扶貧工</w:t>
      </w:r>
      <w:r w:rsidR="00EB38EE" w:rsidRPr="008D4005">
        <w:rPr>
          <w:rFonts w:eastAsia="標楷體"/>
          <w:b/>
          <w:color w:val="000000"/>
          <w:spacing w:val="15"/>
        </w:rPr>
        <w:t>作</w:t>
      </w:r>
      <w:r w:rsidR="00EB38EE" w:rsidRPr="008D4005">
        <w:rPr>
          <w:rFonts w:eastAsia="標楷體" w:hint="eastAsia"/>
          <w:b/>
          <w:color w:val="000000"/>
          <w:spacing w:val="15"/>
        </w:rPr>
        <w:t>，</w:t>
      </w:r>
      <w:r w:rsidR="002A6132">
        <w:rPr>
          <w:rFonts w:eastAsia="標楷體" w:hint="eastAsia"/>
          <w:b/>
          <w:color w:val="000000"/>
          <w:spacing w:val="15"/>
        </w:rPr>
        <w:t>對</w:t>
      </w:r>
      <w:r w:rsidR="00210AC7">
        <w:rPr>
          <w:rFonts w:eastAsia="標楷體" w:hint="eastAsia"/>
          <w:b/>
          <w:color w:val="000000"/>
          <w:spacing w:val="15"/>
        </w:rPr>
        <w:t>收窄貧富差距的成效並不</w:t>
      </w:r>
      <w:r w:rsidR="00EB38EE" w:rsidRPr="008D4005">
        <w:rPr>
          <w:rFonts w:eastAsia="標楷體" w:hint="eastAsia"/>
          <w:b/>
          <w:color w:val="000000"/>
          <w:spacing w:val="15"/>
        </w:rPr>
        <w:t>顯著。</w:t>
      </w:r>
    </w:p>
    <w:p w:rsidR="00634993" w:rsidRPr="008D4005" w:rsidRDefault="00634993" w:rsidP="0047702C">
      <w:pPr>
        <w:pStyle w:val="Web"/>
        <w:spacing w:before="0" w:beforeAutospacing="0" w:after="0" w:afterAutospacing="0" w:line="240" w:lineRule="exact"/>
        <w:jc w:val="both"/>
        <w:textAlignment w:val="baseline"/>
        <w:rPr>
          <w:rFonts w:eastAsia="標楷體"/>
          <w:b/>
        </w:rPr>
      </w:pPr>
    </w:p>
    <w:p w:rsidR="007B3EE0" w:rsidRPr="00E60846" w:rsidRDefault="007B3EE0" w:rsidP="00E60846">
      <w:pPr>
        <w:pStyle w:val="Web"/>
        <w:numPr>
          <w:ilvl w:val="0"/>
          <w:numId w:val="1"/>
        </w:numPr>
        <w:spacing w:before="0" w:beforeAutospacing="0" w:after="0" w:afterAutospacing="0" w:line="240" w:lineRule="exact"/>
        <w:jc w:val="both"/>
        <w:textAlignment w:val="baseline"/>
        <w:rPr>
          <w:rFonts w:eastAsia="標楷體"/>
          <w:b/>
        </w:rPr>
      </w:pPr>
      <w:r w:rsidRPr="008D4005">
        <w:rPr>
          <w:rFonts w:eastAsia="標楷體"/>
          <w:color w:val="000000"/>
          <w:spacing w:val="15"/>
        </w:rPr>
        <w:t>在財富再分配機制方面，扶貧政策方面，公共房屋</w:t>
      </w:r>
      <w:r w:rsidR="00036FE1" w:rsidRPr="008D4005">
        <w:rPr>
          <w:rFonts w:eastAsia="標楷體"/>
          <w:color w:val="000000"/>
          <w:spacing w:val="15"/>
        </w:rPr>
        <w:t>一直是</w:t>
      </w:r>
      <w:r w:rsidRPr="008D4005">
        <w:rPr>
          <w:rFonts w:eastAsia="標楷體"/>
          <w:color w:val="000000"/>
          <w:spacing w:val="15"/>
        </w:rPr>
        <w:t>極</w:t>
      </w:r>
      <w:r w:rsidR="00036FE1" w:rsidRPr="008D4005">
        <w:rPr>
          <w:rFonts w:eastAsia="標楷體"/>
          <w:color w:val="000000"/>
          <w:spacing w:val="15"/>
        </w:rPr>
        <w:t>重</w:t>
      </w:r>
      <w:r w:rsidRPr="008D4005">
        <w:rPr>
          <w:rFonts w:eastAsia="標楷體"/>
          <w:color w:val="000000"/>
          <w:spacing w:val="15"/>
        </w:rPr>
        <w:t>要福利轉移的角色。由於現時仍有近二十萬名市民蝸居租金昂貴但</w:t>
      </w:r>
      <w:proofErr w:type="gramStart"/>
      <w:r w:rsidRPr="008D4005">
        <w:rPr>
          <w:rFonts w:eastAsia="標楷體"/>
          <w:color w:val="000000"/>
          <w:spacing w:val="15"/>
        </w:rPr>
        <w:t>面積陝小的</w:t>
      </w:r>
      <w:proofErr w:type="gramEnd"/>
      <w:r w:rsidRPr="008D4005">
        <w:rPr>
          <w:rFonts w:eastAsia="標楷體"/>
          <w:color w:val="000000"/>
          <w:spacing w:val="15"/>
        </w:rPr>
        <w:t>不適切居所</w:t>
      </w:r>
      <w:r w:rsidRPr="008D4005">
        <w:rPr>
          <w:rFonts w:eastAsia="標楷體"/>
          <w:color w:val="000000"/>
          <w:spacing w:val="15"/>
        </w:rPr>
        <w:t>(</w:t>
      </w:r>
      <w:r w:rsidRPr="008D4005">
        <w:rPr>
          <w:rFonts w:eastAsia="標楷體"/>
          <w:color w:val="000000"/>
          <w:spacing w:val="15"/>
        </w:rPr>
        <w:t>例如</w:t>
      </w:r>
      <w:r w:rsidRPr="008D4005">
        <w:rPr>
          <w:rFonts w:eastAsia="標楷體"/>
          <w:color w:val="000000"/>
          <w:spacing w:val="15"/>
        </w:rPr>
        <w:t>:</w:t>
      </w:r>
      <w:r w:rsidRPr="008D4005">
        <w:rPr>
          <w:rFonts w:eastAsia="標楷體"/>
          <w:color w:val="000000"/>
          <w:spacing w:val="15"/>
        </w:rPr>
        <w:t>劏房、板間房、床位、天台屋等</w:t>
      </w:r>
      <w:r w:rsidRPr="008D4005">
        <w:rPr>
          <w:rFonts w:eastAsia="標楷體"/>
          <w:color w:val="000000"/>
          <w:spacing w:val="15"/>
        </w:rPr>
        <w:t>)</w:t>
      </w:r>
      <w:r w:rsidR="00036FE1" w:rsidRPr="008D4005">
        <w:rPr>
          <w:rFonts w:eastAsia="標楷體"/>
          <w:color w:val="000000"/>
          <w:spacing w:val="15"/>
        </w:rPr>
        <w:t>，公屋輪候冊更有二十七萬多宗且涉及近五十萬名市民的</w:t>
      </w:r>
      <w:r w:rsidR="00B51448" w:rsidRPr="008D4005">
        <w:rPr>
          <w:rFonts w:eastAsia="標楷體"/>
          <w:color w:val="000000"/>
          <w:spacing w:val="15"/>
        </w:rPr>
        <w:t>輪候公屋</w:t>
      </w:r>
      <w:r w:rsidR="00036FE1" w:rsidRPr="008D4005">
        <w:rPr>
          <w:rFonts w:eastAsia="標楷體"/>
          <w:color w:val="000000"/>
          <w:spacing w:val="15"/>
        </w:rPr>
        <w:t>個案，</w:t>
      </w:r>
      <w:r w:rsidR="00B51448" w:rsidRPr="008D4005">
        <w:rPr>
          <w:rFonts w:eastAsia="標楷體"/>
          <w:b/>
          <w:color w:val="000000"/>
          <w:spacing w:val="15"/>
        </w:rPr>
        <w:t>政府應盡快引入租金津貼及租金管制等制度，協助基層市民應付沉重住屋開支</w:t>
      </w:r>
      <w:r w:rsidR="00B51448" w:rsidRPr="008D4005">
        <w:rPr>
          <w:rFonts w:eastAsia="標楷體"/>
          <w:color w:val="000000"/>
          <w:spacing w:val="15"/>
        </w:rPr>
        <w:t>。</w:t>
      </w:r>
      <w:r w:rsidR="00B51448" w:rsidRPr="00E60846">
        <w:rPr>
          <w:rFonts w:eastAsia="標楷體"/>
          <w:color w:val="000000"/>
          <w:spacing w:val="15"/>
        </w:rPr>
        <w:t>另外，</w:t>
      </w:r>
      <w:r w:rsidR="00E60846" w:rsidRPr="00E60846">
        <w:rPr>
          <w:rFonts w:eastAsia="標楷體" w:hint="eastAsia"/>
          <w:color w:val="000000"/>
          <w:spacing w:val="15"/>
        </w:rPr>
        <w:t>由於</w:t>
      </w:r>
      <w:r w:rsidR="00EB38EE" w:rsidRPr="00E60846">
        <w:rPr>
          <w:rFonts w:eastAsia="標楷體" w:hint="eastAsia"/>
          <w:color w:val="000000"/>
          <w:spacing w:val="15"/>
        </w:rPr>
        <w:t>自</w:t>
      </w:r>
      <w:r w:rsidR="00B51448" w:rsidRPr="00E60846">
        <w:rPr>
          <w:rFonts w:eastAsia="標楷體"/>
          <w:color w:val="000000"/>
          <w:spacing w:val="15"/>
        </w:rPr>
        <w:t>去年推行的低收入在職家庭津貼</w:t>
      </w:r>
      <w:r w:rsidR="00B51448" w:rsidRPr="00E60846">
        <w:rPr>
          <w:rFonts w:eastAsia="標楷體"/>
          <w:color w:val="000000"/>
          <w:spacing w:val="15"/>
        </w:rPr>
        <w:t>(</w:t>
      </w:r>
      <w:proofErr w:type="gramStart"/>
      <w:r w:rsidR="00B51448" w:rsidRPr="00E60846">
        <w:rPr>
          <w:rFonts w:eastAsia="標楷體"/>
          <w:color w:val="000000"/>
          <w:spacing w:val="15"/>
        </w:rPr>
        <w:t>低津</w:t>
      </w:r>
      <w:proofErr w:type="gramEnd"/>
      <w:r w:rsidR="00B51448" w:rsidRPr="00E60846">
        <w:rPr>
          <w:rFonts w:eastAsia="標楷體"/>
          <w:color w:val="000000"/>
          <w:spacing w:val="15"/>
        </w:rPr>
        <w:t>)</w:t>
      </w:r>
      <w:r w:rsidR="00B51448" w:rsidRPr="00E60846">
        <w:rPr>
          <w:rFonts w:eastAsia="標楷體"/>
          <w:color w:val="000000"/>
          <w:spacing w:val="15"/>
        </w:rPr>
        <w:t>的成效</w:t>
      </w:r>
      <w:proofErr w:type="gramStart"/>
      <w:r w:rsidR="00B51448" w:rsidRPr="00E60846">
        <w:rPr>
          <w:rFonts w:eastAsia="標楷體"/>
          <w:color w:val="000000"/>
          <w:spacing w:val="15"/>
        </w:rPr>
        <w:t>不</w:t>
      </w:r>
      <w:proofErr w:type="gramEnd"/>
      <w:r w:rsidR="00B51448" w:rsidRPr="00E60846">
        <w:rPr>
          <w:rFonts w:eastAsia="標楷體"/>
          <w:color w:val="000000"/>
          <w:spacing w:val="15"/>
        </w:rPr>
        <w:t>彰，當局應儘快檢視計劃成效，</w:t>
      </w:r>
      <w:r w:rsidR="00B51448" w:rsidRPr="00E60846">
        <w:rPr>
          <w:rFonts w:eastAsia="標楷體"/>
          <w:b/>
          <w:color w:val="000000"/>
          <w:spacing w:val="15"/>
        </w:rPr>
        <w:t>進一步放寬各項申請資格，長遠更應考慮</w:t>
      </w:r>
      <w:r w:rsidR="00B81132" w:rsidRPr="00E60846">
        <w:rPr>
          <w:rFonts w:eastAsia="標楷體"/>
          <w:b/>
          <w:color w:val="000000"/>
          <w:spacing w:val="15"/>
        </w:rPr>
        <w:t>推行負稅率</w:t>
      </w:r>
      <w:r w:rsidR="00B81132" w:rsidRPr="00E60846">
        <w:rPr>
          <w:rFonts w:eastAsia="標楷體"/>
          <w:b/>
          <w:color w:val="000000"/>
          <w:spacing w:val="15"/>
        </w:rPr>
        <w:t>(negative income tax)</w:t>
      </w:r>
      <w:r w:rsidR="004D00F2" w:rsidRPr="00E60846">
        <w:rPr>
          <w:rFonts w:eastAsia="標楷體"/>
          <w:b/>
          <w:color w:val="000000"/>
          <w:spacing w:val="15"/>
        </w:rPr>
        <w:t>制度，更全面支援低收入的貧窮住戶。</w:t>
      </w:r>
    </w:p>
    <w:p w:rsidR="006A5070" w:rsidRPr="008D4005" w:rsidRDefault="006A5070" w:rsidP="0047702C">
      <w:pPr>
        <w:pStyle w:val="Web"/>
        <w:spacing w:before="0" w:beforeAutospacing="0" w:after="0" w:afterAutospacing="0" w:line="240" w:lineRule="exact"/>
        <w:jc w:val="both"/>
        <w:textAlignment w:val="baseline"/>
        <w:rPr>
          <w:rFonts w:eastAsia="標楷體"/>
          <w:b/>
        </w:rPr>
      </w:pPr>
    </w:p>
    <w:p w:rsidR="0008345F" w:rsidRPr="00ED2BA6" w:rsidRDefault="00ED2BA6" w:rsidP="00ED2BA6">
      <w:pPr>
        <w:pStyle w:val="Web"/>
        <w:numPr>
          <w:ilvl w:val="0"/>
          <w:numId w:val="1"/>
        </w:numPr>
        <w:spacing w:before="0" w:beforeAutospacing="0" w:after="0" w:afterAutospacing="0" w:line="240" w:lineRule="exact"/>
        <w:jc w:val="both"/>
        <w:textAlignment w:val="baseline"/>
        <w:rPr>
          <w:rFonts w:eastAsia="標楷體"/>
          <w:b/>
        </w:rPr>
      </w:pPr>
      <w:r w:rsidRPr="00ED2BA6">
        <w:rPr>
          <w:rFonts w:ascii="標楷體" w:eastAsia="標楷體" w:hAnsi="標楷體" w:hint="eastAsia"/>
        </w:rPr>
        <w:t>本會認為，以往政府強調透過發展經濟解決貧窮問題已不可行，由於本港產業傾斜於金融服務等行業，政府缺乏經濟政策發展特定行業，令個別行業僱員薪金(例如:零售)難以大幅提升。市場工種零散化、短期化和合約化等，</w:t>
      </w:r>
      <w:proofErr w:type="gramStart"/>
      <w:r w:rsidRPr="00ED2BA6">
        <w:rPr>
          <w:rFonts w:ascii="標楷體" w:eastAsia="標楷體" w:hAnsi="標楷體" w:hint="eastAsia"/>
        </w:rPr>
        <w:t>均令勞工</w:t>
      </w:r>
      <w:proofErr w:type="gramEnd"/>
      <w:r w:rsidRPr="00ED2BA6">
        <w:rPr>
          <w:rFonts w:ascii="標楷體" w:eastAsia="標楷體" w:hAnsi="標楷體" w:hint="eastAsia"/>
        </w:rPr>
        <w:t>難以透過累積工作經驗增加收入。</w:t>
      </w:r>
      <w:r w:rsidR="006A5070" w:rsidRPr="00ED2BA6">
        <w:rPr>
          <w:rFonts w:eastAsia="標楷體" w:hint="eastAsia"/>
          <w:color w:val="000000"/>
          <w:spacing w:val="15"/>
        </w:rPr>
        <w:t>長遠而言，</w:t>
      </w:r>
      <w:r w:rsidR="007B3EE0" w:rsidRPr="00ED2BA6">
        <w:rPr>
          <w:rFonts w:eastAsia="標楷體"/>
          <w:color w:val="000000"/>
          <w:spacing w:val="15"/>
        </w:rPr>
        <w:t>要有效應對貧富差距，</w:t>
      </w:r>
      <w:r w:rsidR="00C113EF" w:rsidRPr="00ED2BA6">
        <w:rPr>
          <w:rFonts w:eastAsia="標楷體"/>
          <w:color w:val="000000"/>
          <w:spacing w:val="15"/>
        </w:rPr>
        <w:t>本會認為</w:t>
      </w:r>
      <w:r w:rsidR="007B3EE0" w:rsidRPr="00ED2BA6">
        <w:rPr>
          <w:rFonts w:eastAsia="標楷體"/>
          <w:color w:val="000000"/>
          <w:spacing w:val="15"/>
        </w:rPr>
        <w:t>政府除了透過政策介入</w:t>
      </w:r>
      <w:r w:rsidR="00362037" w:rsidRPr="00ED2BA6">
        <w:rPr>
          <w:rFonts w:eastAsia="標楷體" w:hint="eastAsia"/>
          <w:color w:val="000000"/>
          <w:spacing w:val="15"/>
        </w:rPr>
        <w:t>、</w:t>
      </w:r>
      <w:r w:rsidR="007B3EE0" w:rsidRPr="00ED2BA6">
        <w:rPr>
          <w:rFonts w:eastAsia="標楷體"/>
          <w:color w:val="000000"/>
          <w:spacing w:val="15"/>
        </w:rPr>
        <w:t>稅務及福利轉移等</w:t>
      </w:r>
      <w:r w:rsidR="008B630E">
        <w:rPr>
          <w:rFonts w:eastAsia="標楷體" w:hint="eastAsia"/>
          <w:color w:val="000000"/>
          <w:spacing w:val="15"/>
        </w:rPr>
        <w:t>進行</w:t>
      </w:r>
      <w:r w:rsidR="007B3EE0" w:rsidRPr="00ED2BA6">
        <w:rPr>
          <w:rFonts w:eastAsia="標楷體"/>
          <w:color w:val="000000"/>
          <w:spacing w:val="15"/>
        </w:rPr>
        <w:t>財富再分配外，</w:t>
      </w:r>
      <w:r w:rsidR="001D0574" w:rsidRPr="00ED2BA6">
        <w:rPr>
          <w:rFonts w:eastAsia="標楷體" w:hint="eastAsia"/>
          <w:color w:val="000000"/>
          <w:spacing w:val="15"/>
        </w:rPr>
        <w:t>當局更要</w:t>
      </w:r>
      <w:r w:rsidR="007B3EE0" w:rsidRPr="00ED2BA6">
        <w:rPr>
          <w:rFonts w:eastAsia="標楷體"/>
          <w:color w:val="000000"/>
          <w:spacing w:val="15"/>
        </w:rPr>
        <w:t>確保政策介入前</w:t>
      </w:r>
      <w:r w:rsidR="004754F4" w:rsidRPr="00ED2BA6">
        <w:rPr>
          <w:rFonts w:eastAsia="標楷體" w:hint="eastAsia"/>
          <w:color w:val="000000"/>
          <w:spacing w:val="15"/>
        </w:rPr>
        <w:t>，</w:t>
      </w:r>
      <w:r w:rsidR="007B3EE0" w:rsidRPr="00ED2BA6">
        <w:rPr>
          <w:rFonts w:eastAsia="標楷體"/>
          <w:color w:val="000000"/>
          <w:spacing w:val="15"/>
        </w:rPr>
        <w:t>住戶收入獲得相應提升。</w:t>
      </w:r>
      <w:r w:rsidR="009D1792">
        <w:rPr>
          <w:rFonts w:eastAsia="標楷體" w:hint="eastAsia"/>
          <w:b/>
          <w:color w:val="000000"/>
          <w:spacing w:val="15"/>
        </w:rPr>
        <w:t>為</w:t>
      </w:r>
      <w:r w:rsidR="00E73AF1" w:rsidRPr="00ED2BA6">
        <w:rPr>
          <w:rFonts w:eastAsia="標楷體" w:hint="eastAsia"/>
          <w:b/>
          <w:color w:val="000000"/>
          <w:spacing w:val="15"/>
        </w:rPr>
        <w:t>此，</w:t>
      </w:r>
      <w:r w:rsidR="007B3EE0" w:rsidRPr="00ED2BA6">
        <w:rPr>
          <w:rFonts w:eastAsia="標楷體"/>
          <w:b/>
          <w:color w:val="000000"/>
          <w:spacing w:val="15"/>
        </w:rPr>
        <w:t>政府應著力改善勞動市場的工作待遇，包括</w:t>
      </w:r>
      <w:r w:rsidR="007B3EE0" w:rsidRPr="00ED2BA6">
        <w:rPr>
          <w:rFonts w:eastAsia="標楷體"/>
          <w:b/>
          <w:color w:val="000000"/>
          <w:spacing w:val="15"/>
        </w:rPr>
        <w:t>:</w:t>
      </w:r>
      <w:r w:rsidR="00B10469">
        <w:rPr>
          <w:rFonts w:eastAsia="標楷體"/>
          <w:b/>
          <w:color w:val="000000"/>
          <w:spacing w:val="15"/>
        </w:rPr>
        <w:t>檢討及上調最低工資的計算方法、將</w:t>
      </w:r>
      <w:proofErr w:type="gramStart"/>
      <w:r w:rsidR="00B10469">
        <w:rPr>
          <w:rFonts w:eastAsia="標楷體"/>
          <w:b/>
          <w:color w:val="000000"/>
          <w:spacing w:val="15"/>
        </w:rPr>
        <w:t>政府外判工種</w:t>
      </w:r>
      <w:proofErr w:type="gramEnd"/>
      <w:r w:rsidR="00B10469">
        <w:rPr>
          <w:rFonts w:eastAsia="標楷體"/>
          <w:b/>
          <w:color w:val="000000"/>
          <w:spacing w:val="15"/>
        </w:rPr>
        <w:t>恢復</w:t>
      </w:r>
      <w:r w:rsidR="00B10469">
        <w:rPr>
          <w:rFonts w:eastAsia="標楷體" w:hint="eastAsia"/>
          <w:b/>
          <w:color w:val="000000"/>
          <w:spacing w:val="15"/>
        </w:rPr>
        <w:t>為恆常的</w:t>
      </w:r>
      <w:r w:rsidR="007B3EE0" w:rsidRPr="00ED2BA6">
        <w:rPr>
          <w:rFonts w:eastAsia="標楷體"/>
          <w:b/>
          <w:color w:val="000000"/>
          <w:spacing w:val="15"/>
        </w:rPr>
        <w:t>公務員職位等。</w:t>
      </w:r>
      <w:r w:rsidR="00F726F9" w:rsidRPr="00ED2BA6">
        <w:rPr>
          <w:rFonts w:eastAsia="標楷體" w:hint="eastAsia"/>
          <w:b/>
        </w:rPr>
        <w:t>貧富懸殊早已成為香港社會的深層次矛盾，直接影響特區政府能否有效</w:t>
      </w:r>
      <w:proofErr w:type="gramStart"/>
      <w:r w:rsidR="00F726F9" w:rsidRPr="00ED2BA6">
        <w:rPr>
          <w:rFonts w:eastAsia="標楷體" w:hint="eastAsia"/>
          <w:b/>
        </w:rPr>
        <w:t>在港管治</w:t>
      </w:r>
      <w:proofErr w:type="gramEnd"/>
      <w:r w:rsidR="00F726F9" w:rsidRPr="00ED2BA6">
        <w:rPr>
          <w:rFonts w:eastAsia="標楷體" w:hint="eastAsia"/>
          <w:b/>
        </w:rPr>
        <w:t>及施治；</w:t>
      </w:r>
      <w:r w:rsidR="008015B1" w:rsidRPr="00ED2BA6">
        <w:rPr>
          <w:rFonts w:eastAsia="標楷體" w:hint="eastAsia"/>
          <w:b/>
          <w:color w:val="000000"/>
          <w:spacing w:val="15"/>
        </w:rPr>
        <w:t>本會促請</w:t>
      </w:r>
      <w:r w:rsidR="008015B1" w:rsidRPr="00ED2BA6">
        <w:rPr>
          <w:rFonts w:eastAsia="標楷體" w:hint="eastAsia"/>
          <w:b/>
        </w:rPr>
        <w:t>新一屆政府</w:t>
      </w:r>
      <w:r w:rsidR="00F726F9" w:rsidRPr="00ED2BA6">
        <w:rPr>
          <w:rFonts w:eastAsia="標楷體" w:hint="eastAsia"/>
          <w:b/>
        </w:rPr>
        <w:t>馬上</w:t>
      </w:r>
      <w:r w:rsidR="008015B1" w:rsidRPr="00ED2BA6">
        <w:rPr>
          <w:rFonts w:eastAsia="標楷體" w:hint="eastAsia"/>
          <w:b/>
        </w:rPr>
        <w:t>制訂扶貧政策與扶貧指標，以期在未來五年內</w:t>
      </w:r>
      <w:r w:rsidR="00F726F9" w:rsidRPr="00ED2BA6">
        <w:rPr>
          <w:rFonts w:eastAsia="標楷體" w:hint="eastAsia"/>
          <w:b/>
        </w:rPr>
        <w:t>扭轉</w:t>
      </w:r>
      <w:r w:rsidR="008015B1" w:rsidRPr="00ED2BA6">
        <w:rPr>
          <w:rFonts w:eastAsia="標楷體" w:hint="eastAsia"/>
          <w:b/>
        </w:rPr>
        <w:t>貧富懸殊的狀況。</w:t>
      </w:r>
    </w:p>
    <w:p w:rsidR="009A7659" w:rsidRPr="00ED2BA6" w:rsidRDefault="00ED2BA6" w:rsidP="00ED2BA6">
      <w:pPr>
        <w:spacing w:after="0" w:line="240" w:lineRule="exact"/>
        <w:ind w:right="49"/>
        <w:jc w:val="center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8D4005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2017</w:t>
      </w:r>
      <w:r w:rsidRPr="008D4005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年</w:t>
      </w:r>
      <w:r w:rsidRPr="008D4005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6</w:t>
      </w:r>
      <w:r w:rsidRPr="008D4005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月</w:t>
      </w:r>
      <w:r w:rsidRPr="008D4005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9</w:t>
      </w:r>
      <w:r w:rsidRPr="008D4005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ab/>
      </w: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ab/>
      </w: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ab/>
      </w: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ab/>
      </w: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ab/>
      </w: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ab/>
      </w: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ab/>
      </w: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ab/>
      </w: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ab/>
        <w:t xml:space="preserve">               </w:t>
      </w:r>
      <w:r w:rsidR="00763719" w:rsidRPr="008D4005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香港社區組織協會</w:t>
      </w:r>
    </w:p>
    <w:sectPr w:rsidR="009A7659" w:rsidRPr="00ED2BA6" w:rsidSect="00E60846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19" w:rsidRDefault="00454519" w:rsidP="004D2D51">
      <w:pPr>
        <w:spacing w:after="0" w:line="240" w:lineRule="auto"/>
      </w:pPr>
      <w:r>
        <w:separator/>
      </w:r>
    </w:p>
  </w:endnote>
  <w:endnote w:type="continuationSeparator" w:id="0">
    <w:p w:rsidR="00454519" w:rsidRDefault="00454519" w:rsidP="004D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19" w:rsidRDefault="00454519" w:rsidP="004D2D51">
      <w:pPr>
        <w:spacing w:after="0" w:line="240" w:lineRule="auto"/>
      </w:pPr>
      <w:r>
        <w:separator/>
      </w:r>
    </w:p>
  </w:footnote>
  <w:footnote w:type="continuationSeparator" w:id="0">
    <w:p w:rsidR="00454519" w:rsidRDefault="00454519" w:rsidP="004D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7B1B"/>
    <w:multiLevelType w:val="hybridMultilevel"/>
    <w:tmpl w:val="F3742A70"/>
    <w:lvl w:ilvl="0" w:tplc="BADAB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DB"/>
    <w:rsid w:val="00010ECC"/>
    <w:rsid w:val="000230AE"/>
    <w:rsid w:val="00036FE1"/>
    <w:rsid w:val="00055F06"/>
    <w:rsid w:val="0008345F"/>
    <w:rsid w:val="000A252B"/>
    <w:rsid w:val="000B1DD0"/>
    <w:rsid w:val="000D5937"/>
    <w:rsid w:val="000D69A7"/>
    <w:rsid w:val="000F633E"/>
    <w:rsid w:val="00103B86"/>
    <w:rsid w:val="00173030"/>
    <w:rsid w:val="001D0574"/>
    <w:rsid w:val="00210AC7"/>
    <w:rsid w:val="00267C08"/>
    <w:rsid w:val="002A6132"/>
    <w:rsid w:val="002F7F88"/>
    <w:rsid w:val="00317727"/>
    <w:rsid w:val="00350CE6"/>
    <w:rsid w:val="00351892"/>
    <w:rsid w:val="00362037"/>
    <w:rsid w:val="00396DFB"/>
    <w:rsid w:val="003D4DF8"/>
    <w:rsid w:val="00454519"/>
    <w:rsid w:val="004754F4"/>
    <w:rsid w:val="0047702C"/>
    <w:rsid w:val="00480BA4"/>
    <w:rsid w:val="004A1E1E"/>
    <w:rsid w:val="004D00F2"/>
    <w:rsid w:val="004D2D51"/>
    <w:rsid w:val="005813AF"/>
    <w:rsid w:val="005E7654"/>
    <w:rsid w:val="005F2CD0"/>
    <w:rsid w:val="00620A26"/>
    <w:rsid w:val="00634993"/>
    <w:rsid w:val="00677C0C"/>
    <w:rsid w:val="006A5070"/>
    <w:rsid w:val="006F18BA"/>
    <w:rsid w:val="00704156"/>
    <w:rsid w:val="007149C5"/>
    <w:rsid w:val="00723E53"/>
    <w:rsid w:val="00743353"/>
    <w:rsid w:val="00746001"/>
    <w:rsid w:val="00763719"/>
    <w:rsid w:val="007821F3"/>
    <w:rsid w:val="007918A0"/>
    <w:rsid w:val="007B3EE0"/>
    <w:rsid w:val="007D0F4C"/>
    <w:rsid w:val="007D6B96"/>
    <w:rsid w:val="008015B1"/>
    <w:rsid w:val="0080376A"/>
    <w:rsid w:val="008040A5"/>
    <w:rsid w:val="00837064"/>
    <w:rsid w:val="008456EE"/>
    <w:rsid w:val="00852949"/>
    <w:rsid w:val="008B630E"/>
    <w:rsid w:val="008D4005"/>
    <w:rsid w:val="008E5467"/>
    <w:rsid w:val="00911B93"/>
    <w:rsid w:val="0096261F"/>
    <w:rsid w:val="0097290F"/>
    <w:rsid w:val="009A7659"/>
    <w:rsid w:val="009D1792"/>
    <w:rsid w:val="009F50D5"/>
    <w:rsid w:val="009F6DA5"/>
    <w:rsid w:val="00A43C6E"/>
    <w:rsid w:val="00AF1DD4"/>
    <w:rsid w:val="00AF4F00"/>
    <w:rsid w:val="00B0090A"/>
    <w:rsid w:val="00B10469"/>
    <w:rsid w:val="00B51448"/>
    <w:rsid w:val="00B81132"/>
    <w:rsid w:val="00BA06BD"/>
    <w:rsid w:val="00BE5ADB"/>
    <w:rsid w:val="00C022A9"/>
    <w:rsid w:val="00C113EF"/>
    <w:rsid w:val="00C21D5E"/>
    <w:rsid w:val="00C2318D"/>
    <w:rsid w:val="00CC798B"/>
    <w:rsid w:val="00D06E29"/>
    <w:rsid w:val="00D1290E"/>
    <w:rsid w:val="00D16375"/>
    <w:rsid w:val="00D70AF0"/>
    <w:rsid w:val="00D742DC"/>
    <w:rsid w:val="00D94135"/>
    <w:rsid w:val="00D9589C"/>
    <w:rsid w:val="00DC21BD"/>
    <w:rsid w:val="00E60846"/>
    <w:rsid w:val="00E73AF1"/>
    <w:rsid w:val="00EB38EE"/>
    <w:rsid w:val="00ED1AFC"/>
    <w:rsid w:val="00ED2BA6"/>
    <w:rsid w:val="00ED7F66"/>
    <w:rsid w:val="00EE773F"/>
    <w:rsid w:val="00F044C7"/>
    <w:rsid w:val="00F726F9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styleId="a3">
    <w:name w:val="Table Grid"/>
    <w:basedOn w:val="a1"/>
    <w:uiPriority w:val="39"/>
    <w:rsid w:val="00BE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993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9A7659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9A7659"/>
  </w:style>
  <w:style w:type="paragraph" w:styleId="a7">
    <w:name w:val="Balloon Text"/>
    <w:basedOn w:val="a"/>
    <w:link w:val="a8"/>
    <w:uiPriority w:val="99"/>
    <w:semiHidden/>
    <w:unhideWhenUsed/>
    <w:rsid w:val="003518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18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D2D5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D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D2D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styleId="a3">
    <w:name w:val="Table Grid"/>
    <w:basedOn w:val="a1"/>
    <w:uiPriority w:val="39"/>
    <w:rsid w:val="00BE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993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9A7659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9A7659"/>
  </w:style>
  <w:style w:type="paragraph" w:styleId="a7">
    <w:name w:val="Balloon Text"/>
    <w:basedOn w:val="a"/>
    <w:link w:val="a8"/>
    <w:uiPriority w:val="99"/>
    <w:semiHidden/>
    <w:unhideWhenUsed/>
    <w:rsid w:val="003518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18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D2D5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D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D2D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</Words>
  <Characters>1284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90</cp:revision>
  <cp:lastPrinted>2017-06-09T09:27:00Z</cp:lastPrinted>
  <dcterms:created xsi:type="dcterms:W3CDTF">2017-06-09T08:03:00Z</dcterms:created>
  <dcterms:modified xsi:type="dcterms:W3CDTF">2017-06-13T05:16:00Z</dcterms:modified>
</cp:coreProperties>
</file>