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30" w:rsidRPr="00FB3D24" w:rsidRDefault="00D12113" w:rsidP="00A06873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7"/>
          <w:u w:val="single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8"/>
          <w:szCs w:val="27"/>
          <w:u w:val="single"/>
          <w:lang w:eastAsia="zh-TW"/>
        </w:rPr>
        <w:t>香港社區組織協會</w:t>
      </w:r>
      <w:r w:rsidR="003921FF" w:rsidRPr="00FB3D24">
        <w:rPr>
          <w:rFonts w:ascii="Times New Roman" w:eastAsia="標楷體" w:hAnsi="Times New Roman" w:cs="Times New Roman" w:hint="eastAsia"/>
          <w:b/>
          <w:sz w:val="28"/>
          <w:szCs w:val="27"/>
          <w:u w:val="single"/>
          <w:lang w:eastAsia="zh-TW"/>
        </w:rPr>
        <w:t xml:space="preserve"> </w:t>
      </w:r>
      <w:r w:rsidRPr="00FB3D24">
        <w:rPr>
          <w:rFonts w:ascii="Times New Roman" w:eastAsia="標楷體" w:hAnsi="Times New Roman" w:cs="Times New Roman" w:hint="eastAsia"/>
          <w:b/>
          <w:sz w:val="28"/>
          <w:szCs w:val="27"/>
          <w:u w:val="single"/>
          <w:lang w:eastAsia="zh-TW"/>
        </w:rPr>
        <w:t>回應</w:t>
      </w:r>
      <w:r w:rsidRPr="00FB3D24">
        <w:rPr>
          <w:rFonts w:ascii="Times New Roman" w:eastAsia="標楷體" w:hAnsi="Times New Roman" w:cs="Times New Roman"/>
          <w:b/>
          <w:sz w:val="28"/>
          <w:szCs w:val="27"/>
          <w:u w:val="single"/>
          <w:lang w:eastAsia="zh-TW"/>
        </w:rPr>
        <w:t xml:space="preserve"> </w:t>
      </w:r>
      <w:r w:rsidR="00476DC4" w:rsidRPr="00FB3D24">
        <w:rPr>
          <w:rFonts w:ascii="Times New Roman" w:eastAsia="標楷體" w:hAnsi="Times New Roman" w:cs="Times New Roman" w:hint="eastAsia"/>
          <w:b/>
          <w:sz w:val="28"/>
          <w:szCs w:val="27"/>
          <w:u w:val="single"/>
          <w:lang w:eastAsia="zh-TW"/>
        </w:rPr>
        <w:t>特區政府與中央人民政府簽署</w:t>
      </w:r>
      <w:r w:rsidRPr="00FB3D24">
        <w:rPr>
          <w:rFonts w:ascii="Times New Roman" w:eastAsia="標楷體" w:hAnsi="Times New Roman" w:cs="Times New Roman" w:hint="eastAsia"/>
          <w:b/>
          <w:sz w:val="28"/>
          <w:szCs w:val="27"/>
          <w:u w:val="single"/>
          <w:lang w:eastAsia="zh-TW"/>
        </w:rPr>
        <w:t>刑事通報</w:t>
      </w:r>
      <w:r w:rsidR="00476DC4" w:rsidRPr="00FB3D24">
        <w:rPr>
          <w:rFonts w:ascii="Times New Roman" w:eastAsia="標楷體" w:hAnsi="Times New Roman" w:cs="Times New Roman" w:hint="eastAsia"/>
          <w:b/>
          <w:sz w:val="28"/>
          <w:szCs w:val="27"/>
          <w:u w:val="single"/>
          <w:lang w:eastAsia="zh-TW"/>
        </w:rPr>
        <w:t>新安排的立場書</w:t>
      </w:r>
    </w:p>
    <w:p w:rsidR="004C7557" w:rsidRPr="00FB3D24" w:rsidRDefault="004C7557" w:rsidP="009516E9">
      <w:pPr>
        <w:spacing w:after="0" w:line="280" w:lineRule="exact"/>
        <w:ind w:firstLine="63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05073A" w:rsidRPr="00FB3D24" w:rsidRDefault="00D12113" w:rsidP="0005073A">
      <w:pPr>
        <w:spacing w:after="0" w:line="320" w:lineRule="exact"/>
        <w:ind w:firstLine="630"/>
        <w:jc w:val="both"/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特區政府今日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BA7EA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12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月</w:t>
      </w:r>
      <w:r w:rsidR="00BA7EA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14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日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公佈與中央政府</w:t>
      </w:r>
      <w:r w:rsidR="00476DC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就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中港刑事通報機制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下稱｢通報機制｣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476DC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的新安排，並將於</w:t>
      </w:r>
      <w:r w:rsidR="00476DC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2018</w:t>
      </w:r>
      <w:r w:rsidR="00476DC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年</w:t>
      </w:r>
      <w:r w:rsidR="00476DC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2</w:t>
      </w:r>
      <w:r w:rsidR="00476DC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月</w:t>
      </w:r>
      <w:r w:rsidR="00476DC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</w:t>
      </w:r>
      <w:r w:rsidR="00476DC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日</w:t>
      </w:r>
      <w:r w:rsidR="00C15463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開始實施。</w:t>
      </w:r>
      <w:r w:rsidR="00DF3D83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新安排主要措施包括</w:t>
      </w:r>
      <w:r w:rsidR="00DF3D83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  <w:r w:rsidR="0005073A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 </w:t>
      </w:r>
      <w:r w:rsidR="0005073A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訂明</w:t>
      </w:r>
      <w:r w:rsidR="00DF3D83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通報時限、通報內容、通報機制適用部門</w:t>
      </w:r>
      <w:r w:rsidR="0005073A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及通報渠道</w:t>
      </w:r>
      <w:r w:rsidR="00DF3D83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等。</w:t>
      </w:r>
      <w:r w:rsidR="00DF3D83"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本會一直關注在內地港人的人身安全及基本人權保障。回歸</w:t>
      </w:r>
      <w:r w:rsidR="0005073A"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超過</w:t>
      </w:r>
      <w:r w:rsidR="00DF3D83"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二十年，中港兩地交往頻繁，惟港人人身安全保障不足，在內地遇事人數有增無減。</w:t>
      </w:r>
      <w:r w:rsidR="00F75D19" w:rsidRPr="00FB3D24">
        <w:rPr>
          <w:rStyle w:val="a5"/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footnoteReference w:id="1"/>
      </w:r>
    </w:p>
    <w:p w:rsidR="00476DC4" w:rsidRPr="00FB3D24" w:rsidRDefault="00476DC4" w:rsidP="007E5662">
      <w:pPr>
        <w:spacing w:after="0" w:line="320" w:lineRule="exact"/>
        <w:ind w:firstLine="63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21DDC" w:rsidRPr="00FB3D24" w:rsidRDefault="00D12113" w:rsidP="007E5662">
      <w:pPr>
        <w:spacing w:after="0" w:line="320" w:lineRule="exact"/>
        <w:ind w:firstLine="63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中港兩地通報機制自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2001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年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1 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月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1 </w:t>
      </w:r>
      <w:r w:rsidR="0074293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日起實施</w:t>
      </w:r>
      <w:r w:rsidR="0005073A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，機制運作至今已超過十六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年，民間團體多年來已要求檢討機制；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是次</w:t>
      </w:r>
      <w:r w:rsidR="0005073A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新安排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姍</w:t>
      </w:r>
      <w:r w:rsidR="0005073A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姍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來遲，改善措施</w:t>
      </w:r>
      <w:r w:rsidR="00742934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僅屬</w:t>
      </w:r>
      <w:r w:rsidR="0005073A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聊勝於無；</w:t>
      </w:r>
      <w:r w:rsidR="0005073A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新安排自</w:t>
      </w:r>
      <w:r w:rsidR="0005073A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2016</w:t>
      </w:r>
      <w:r w:rsidR="0005073A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年</w:t>
      </w:r>
      <w:r w:rsidR="0079469C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6</w:t>
      </w:r>
      <w:r w:rsidR="0005073A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月公佈兩地磋商至今已近一年半，惟新安排的內容與原來機制相若，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改善仍極為不足，為此，本會回應如下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  <w:r w:rsidR="00AD3900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</w:p>
    <w:p w:rsidR="0005073A" w:rsidRPr="00FB3D24" w:rsidRDefault="0005073A" w:rsidP="007E5662">
      <w:pPr>
        <w:spacing w:after="0" w:line="320" w:lineRule="exact"/>
        <w:ind w:firstLine="630"/>
        <w:jc w:val="both"/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</w:pPr>
    </w:p>
    <w:p w:rsidR="00EF620C" w:rsidRPr="00FB3D24" w:rsidRDefault="00D12113" w:rsidP="007E5662">
      <w:pPr>
        <w:pStyle w:val="a6"/>
        <w:widowControl w:val="0"/>
        <w:numPr>
          <w:ilvl w:val="0"/>
          <w:numId w:val="4"/>
        </w:numPr>
        <w:spacing w:after="0" w:line="320" w:lineRule="exact"/>
        <w:ind w:leftChars="0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通報時限太長，不利保障人身安全</w:t>
      </w:r>
    </w:p>
    <w:p w:rsidR="00EF620C" w:rsidRPr="00FB3D24" w:rsidRDefault="00EF620C" w:rsidP="007E5662">
      <w:pPr>
        <w:widowControl w:val="0"/>
        <w:spacing w:after="0" w:line="32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B00287" w:rsidRPr="00FB3D24" w:rsidRDefault="00A53233" w:rsidP="008C3CC9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b/>
          <w:spacing w:val="9"/>
          <w:sz w:val="26"/>
          <w:szCs w:val="26"/>
          <w:shd w:val="clear" w:color="auto" w:fill="FFFFFF"/>
          <w:lang w:eastAsia="zh-TW"/>
        </w:rPr>
      </w:pP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兩地政府決</w:t>
      </w:r>
      <w:r w:rsidR="00D12113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議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新安排</w:t>
      </w:r>
      <w:r w:rsidR="00D12113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將現時兩地刑事案件通報時限，由沒有特定通報時間上限</w:t>
      </w:r>
      <w:r w:rsidR="00D12113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D12113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在切實可行的範圍內</w:t>
      </w:r>
      <w:r w:rsidR="00D12113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742934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，改為加入通報時限，可</w:t>
      </w:r>
      <w:r w:rsidR="0074293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算</w:t>
      </w:r>
      <w:r w:rsidR="008C3CC9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是微小進步。新安排建議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通報應在當事人被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(1)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採取刑事强制措施、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(2)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提出刑事檢控或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(3)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確認非正常死亡人員身分翌日起七個工作日內作出；然而，若涉及重大複雜的刑事案件，當局可延長至不多於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14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個工作日內通報；涉嫌恐怖犯罪活動、危害國家安全犯罪的，更可進一步延長至最遲在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30</w:t>
      </w:r>
      <w:r w:rsidR="008C3CC9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個工作日內通報。</w:t>
      </w:r>
      <w:r w:rsidR="005944FA" w:rsidRPr="00FB3D24">
        <w:rPr>
          <w:rFonts w:ascii="Times New Roman" w:eastAsia="標楷體" w:hAnsi="Times New Roman" w:cs="Times New Roman"/>
          <w:b/>
          <w:spacing w:val="9"/>
          <w:sz w:val="26"/>
          <w:szCs w:val="26"/>
          <w:shd w:val="clear" w:color="auto" w:fill="FFFFFF"/>
          <w:lang w:eastAsia="zh-TW"/>
        </w:rPr>
        <w:t>本會認為各類案件通報時限</w:t>
      </w:r>
      <w:r w:rsidR="00B63DC5" w:rsidRPr="00FB3D24">
        <w:rPr>
          <w:rFonts w:ascii="Times New Roman" w:eastAsia="標楷體" w:hAnsi="Times New Roman" w:cs="Times New Roman" w:hint="eastAsia"/>
          <w:b/>
          <w:spacing w:val="9"/>
          <w:sz w:val="26"/>
          <w:szCs w:val="26"/>
          <w:shd w:val="clear" w:color="auto" w:fill="FFFFFF"/>
          <w:lang w:eastAsia="zh-TW"/>
        </w:rPr>
        <w:t>過</w:t>
      </w:r>
      <w:r w:rsidR="00742934" w:rsidRPr="00FB3D24">
        <w:rPr>
          <w:rFonts w:ascii="Times New Roman" w:eastAsia="標楷體" w:hAnsi="Times New Roman" w:cs="Times New Roman"/>
          <w:b/>
          <w:spacing w:val="9"/>
          <w:sz w:val="26"/>
          <w:szCs w:val="26"/>
          <w:shd w:val="clear" w:color="auto" w:fill="FFFFFF"/>
          <w:lang w:eastAsia="zh-TW"/>
        </w:rPr>
        <w:t>長，當局側重考慮執</w:t>
      </w:r>
      <w:r w:rsidR="00742934" w:rsidRPr="00FB3D24">
        <w:rPr>
          <w:rFonts w:ascii="Times New Roman" w:eastAsia="標楷體" w:hAnsi="Times New Roman" w:cs="Times New Roman" w:hint="eastAsia"/>
          <w:b/>
          <w:spacing w:val="9"/>
          <w:sz w:val="26"/>
          <w:szCs w:val="26"/>
          <w:shd w:val="clear" w:color="auto" w:fill="FFFFFF"/>
          <w:lang w:eastAsia="zh-TW"/>
        </w:rPr>
        <w:t>法</w:t>
      </w:r>
      <w:r w:rsidR="00742934" w:rsidRPr="00FB3D24">
        <w:rPr>
          <w:rFonts w:ascii="Times New Roman" w:eastAsia="標楷體" w:hAnsi="Times New Roman" w:cs="Times New Roman"/>
          <w:b/>
          <w:spacing w:val="9"/>
          <w:sz w:val="26"/>
          <w:szCs w:val="26"/>
          <w:shd w:val="clear" w:color="auto" w:fill="FFFFFF"/>
          <w:lang w:eastAsia="zh-TW"/>
        </w:rPr>
        <w:t>部門調查上的</w:t>
      </w:r>
      <w:r w:rsidR="00742934" w:rsidRPr="00FB3D24">
        <w:rPr>
          <w:rFonts w:ascii="Times New Roman" w:eastAsia="標楷體" w:hAnsi="Times New Roman" w:cs="Times New Roman" w:hint="eastAsia"/>
          <w:b/>
          <w:spacing w:val="9"/>
          <w:sz w:val="26"/>
          <w:szCs w:val="26"/>
          <w:shd w:val="clear" w:color="auto" w:fill="FFFFFF"/>
          <w:lang w:eastAsia="zh-TW"/>
        </w:rPr>
        <w:t>方便</w:t>
      </w:r>
      <w:r w:rsidR="005944FA" w:rsidRPr="00FB3D24">
        <w:rPr>
          <w:rFonts w:ascii="Times New Roman" w:eastAsia="標楷體" w:hAnsi="Times New Roman" w:cs="Times New Roman"/>
          <w:b/>
          <w:spacing w:val="9"/>
          <w:sz w:val="26"/>
          <w:szCs w:val="26"/>
          <w:shd w:val="clear" w:color="auto" w:fill="FFFFFF"/>
          <w:lang w:eastAsia="zh-TW"/>
        </w:rPr>
        <w:t>，卻忽視當事人獲通報其親屬的合法權益</w:t>
      </w:r>
      <w:r w:rsidR="005944FA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，實不利保障公民人身自由。</w:t>
      </w:r>
      <w:proofErr w:type="gramStart"/>
      <w:r w:rsidR="005944FA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再者，</w:t>
      </w:r>
      <w:proofErr w:type="gramEnd"/>
      <w:r w:rsidR="00B00287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兩地就另一地的查詢，最長亦可在</w:t>
      </w:r>
      <w:r w:rsidR="00B00287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30</w:t>
      </w:r>
      <w:r w:rsidR="00B00287"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個工作日內回覆，時間亦屬太長。</w:t>
      </w:r>
      <w:r w:rsidR="00B00287" w:rsidRPr="00FB3D24">
        <w:rPr>
          <w:rFonts w:ascii="Times New Roman" w:eastAsia="標楷體" w:hAnsi="Times New Roman" w:cs="Times New Roman"/>
          <w:b/>
          <w:spacing w:val="9"/>
          <w:sz w:val="26"/>
          <w:szCs w:val="26"/>
          <w:shd w:val="clear" w:color="auto" w:fill="FFFFFF"/>
          <w:lang w:eastAsia="zh-TW"/>
        </w:rPr>
        <w:t>換言之，被採取刑事強制措施的人士，最長可以被關押超過一個多月，「人間蒸發」而不知道其去向。</w:t>
      </w:r>
    </w:p>
    <w:p w:rsidR="00B00287" w:rsidRPr="00FB3D24" w:rsidRDefault="00B00287" w:rsidP="008C3CC9">
      <w:pPr>
        <w:widowControl w:val="0"/>
        <w:spacing w:after="0" w:line="320" w:lineRule="exact"/>
        <w:ind w:firstLine="360"/>
        <w:jc w:val="both"/>
        <w:rPr>
          <w:rFonts w:ascii="細明體_HKSCS" w:eastAsia="細明體_HKSCS" w:hAnsi="細明體_HKSCS"/>
          <w:spacing w:val="9"/>
          <w:sz w:val="18"/>
          <w:szCs w:val="18"/>
          <w:shd w:val="clear" w:color="auto" w:fill="FFFFFF"/>
          <w:lang w:eastAsia="zh-TW"/>
        </w:rPr>
      </w:pPr>
    </w:p>
    <w:p w:rsidR="00E373A2" w:rsidRPr="00FB3D24" w:rsidRDefault="00D12113" w:rsidP="007E5662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本會認為通報時限實屬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過長，根</w:t>
      </w:r>
      <w:r w:rsidRPr="00FB3D24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>據《中華人民共和國刑事訴訟法》第</w:t>
      </w:r>
      <w:r w:rsidRPr="00FB3D24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 xml:space="preserve"> 83 </w:t>
      </w:r>
      <w:r w:rsidRPr="00FB3D24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>條規定，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公安機關在拘留犯罪嫌疑人後，除非</w:t>
      </w:r>
      <w:r w:rsidR="00433EB2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無法通知或者涉嫌危害國家安全犯罪、恐怖活動犯罪通知可能有礙偵查，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否則在一般情況下，</w:t>
      </w:r>
      <w:r w:rsidRPr="00FB3D2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公安機關應當在拘留後</w:t>
      </w:r>
      <w:r w:rsidR="00A24070" w:rsidRPr="00FB3D2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24</w:t>
      </w:r>
      <w:r w:rsidRPr="00FB3D2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小時</w:t>
      </w:r>
      <w:proofErr w:type="gramStart"/>
      <w:r w:rsidRPr="00FB3D2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以內，</w:t>
      </w:r>
      <w:proofErr w:type="gramEnd"/>
      <w:r w:rsidRPr="00FB3D2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通知被拘留人的家屬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。</w:t>
      </w:r>
      <w:r w:rsidR="00B17BA2" w:rsidRPr="00FB3D24">
        <w:rPr>
          <w:rStyle w:val="a5"/>
          <w:rFonts w:ascii="Times New Roman" w:eastAsia="標楷體" w:hAnsi="Times New Roman" w:cs="Times New Roman"/>
          <w:b/>
          <w:sz w:val="26"/>
          <w:szCs w:val="26"/>
          <w:lang w:eastAsia="zh-TW"/>
        </w:rPr>
        <w:footnoteReference w:id="2"/>
      </w:r>
    </w:p>
    <w:p w:rsidR="00E373A2" w:rsidRPr="00FB3D24" w:rsidRDefault="00E373A2" w:rsidP="007E5662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67EFC" w:rsidRPr="00FB3D24" w:rsidRDefault="00D12113" w:rsidP="007E5662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本會認為通</w:t>
      </w:r>
      <w:r w:rsidR="00F93E05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報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時</w:t>
      </w:r>
      <w:r w:rsidR="00F93E05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限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應改為由犯罪嫌疑人被限制人身自由不多於</w:t>
      </w:r>
      <w:r w:rsidRPr="00FB3D24"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  <w:t>24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小時</w:t>
      </w:r>
      <w:r w:rsidR="007F34FF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內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，執法部門便應向雙方政府作出通報。</w:t>
      </w:r>
      <w:proofErr w:type="gramStart"/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此外，</w:t>
      </w:r>
      <w:proofErr w:type="gramEnd"/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除首次報報外，應定期</w:t>
      </w:r>
      <w:r w:rsidRPr="00FB3D24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>(</w:t>
      </w:r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例如：每兩</w:t>
      </w:r>
      <w:proofErr w:type="gramStart"/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個</w:t>
      </w:r>
      <w:proofErr w:type="gramEnd"/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月</w:t>
      </w:r>
      <w:r w:rsidRPr="00FB3D24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>)</w:t>
      </w:r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向政府及當事人在港家屬</w:t>
      </w:r>
      <w:proofErr w:type="gramStart"/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匯</w:t>
      </w:r>
      <w:proofErr w:type="gramEnd"/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報當事人的情況。若執法機關向犯罪嫌疑人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變更或延長任何強制措施</w:t>
      </w:r>
      <w:r w:rsidRPr="00FB3D24"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  <w:t>(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包括</w:t>
      </w:r>
      <w:r w:rsidRPr="00FB3D24"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  <w:t xml:space="preserve">: </w:t>
      </w:r>
      <w:proofErr w:type="gramStart"/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拘</w:t>
      </w:r>
      <w:proofErr w:type="gramEnd"/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傳、取保候審、監視居住、拘留、逮捕</w:t>
      </w:r>
      <w:r w:rsidRPr="00FB3D24"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  <w:t>)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，</w:t>
      </w:r>
      <w:proofErr w:type="gramStart"/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均應在</w:t>
      </w:r>
      <w:proofErr w:type="gramEnd"/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不多於</w:t>
      </w:r>
      <w:r w:rsidRPr="00FB3D24"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  <w:t>24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小時內進行通報。</w:t>
      </w:r>
      <w:proofErr w:type="gramStart"/>
      <w:r w:rsidR="008634DE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此外，</w:t>
      </w:r>
      <w:proofErr w:type="gramEnd"/>
      <w:r w:rsidR="008634DE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由於新安排未有說明在</w:t>
      </w:r>
      <w:r w:rsidR="00B06942" w:rsidRPr="00FB3D24">
        <w:rPr>
          <w:rFonts w:ascii="微軟正黑體" w:eastAsia="微軟正黑體" w:hAnsi="微軟正黑體" w:cs="Times New Roman" w:hint="eastAsia"/>
          <w:b/>
          <w:spacing w:val="10"/>
          <w:sz w:val="26"/>
          <w:szCs w:val="26"/>
          <w:lang w:eastAsia="zh-TW"/>
        </w:rPr>
        <w:t>「</w:t>
      </w:r>
      <w:r w:rsidR="008634DE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變更強制措施</w:t>
      </w:r>
      <w:r w:rsidR="00B06942" w:rsidRPr="00FB3D24">
        <w:rPr>
          <w:rFonts w:ascii="微軟正黑體" w:eastAsia="微軟正黑體" w:hAnsi="微軟正黑體" w:cs="Times New Roman" w:hint="eastAsia"/>
          <w:b/>
          <w:spacing w:val="10"/>
          <w:sz w:val="26"/>
          <w:szCs w:val="26"/>
          <w:lang w:eastAsia="zh-TW"/>
        </w:rPr>
        <w:t>」</w:t>
      </w:r>
      <w:r w:rsidR="008634DE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要否</w:t>
      </w:r>
      <w:r w:rsidR="00B06942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作出通報</w:t>
      </w:r>
      <w:r w:rsidR="008634DE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，因此</w:t>
      </w:r>
      <w:r w:rsidR="00C64E07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兩地</w:t>
      </w:r>
      <w:r w:rsidR="00BD5E9C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政府</w:t>
      </w:r>
      <w:r w:rsidR="00C64E07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必須作出</w:t>
      </w:r>
      <w:r w:rsidR="008634DE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澄清</w:t>
      </w:r>
      <w:r w:rsidR="00C64E07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，並確保新安排包括就</w:t>
      </w:r>
      <w:r w:rsidR="00C64E07" w:rsidRPr="00FB3D24">
        <w:rPr>
          <w:rFonts w:ascii="微軟正黑體" w:eastAsia="微軟正黑體" w:hAnsi="微軟正黑體" w:cs="Times New Roman" w:hint="eastAsia"/>
          <w:b/>
          <w:spacing w:val="10"/>
          <w:sz w:val="26"/>
          <w:szCs w:val="26"/>
          <w:lang w:eastAsia="zh-TW"/>
        </w:rPr>
        <w:t>「</w:t>
      </w:r>
      <w:r w:rsidR="00C64E07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變更強制措施</w:t>
      </w:r>
      <w:r w:rsidR="00C64E07" w:rsidRPr="00FB3D24">
        <w:rPr>
          <w:rFonts w:ascii="微軟正黑體" w:eastAsia="微軟正黑體" w:hAnsi="微軟正黑體" w:cs="Times New Roman" w:hint="eastAsia"/>
          <w:b/>
          <w:spacing w:val="10"/>
          <w:sz w:val="26"/>
          <w:szCs w:val="26"/>
          <w:lang w:eastAsia="zh-TW"/>
        </w:rPr>
        <w:t>」</w:t>
      </w:r>
      <w:r w:rsidR="00C64E07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作出通報</w:t>
      </w:r>
      <w:r w:rsidR="00C64E07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。</w:t>
      </w:r>
    </w:p>
    <w:p w:rsidR="00467EFC" w:rsidRPr="00FB3D24" w:rsidRDefault="00467EFC" w:rsidP="007E5662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</w:pPr>
    </w:p>
    <w:p w:rsidR="00F75D19" w:rsidRPr="00FB3D24" w:rsidRDefault="00F75D19" w:rsidP="00F75D19">
      <w:pPr>
        <w:pStyle w:val="a6"/>
        <w:widowControl w:val="0"/>
        <w:numPr>
          <w:ilvl w:val="0"/>
          <w:numId w:val="4"/>
        </w:numPr>
        <w:spacing w:after="0" w:line="320" w:lineRule="exact"/>
        <w:ind w:leftChars="0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通報範圍內容</w:t>
      </w:r>
      <w:r w:rsidR="0070343E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欠案情摘要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 xml:space="preserve">    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惟法律支援不足</w:t>
      </w:r>
    </w:p>
    <w:p w:rsidR="00F75D19" w:rsidRPr="00FB3D24" w:rsidRDefault="00F75D19" w:rsidP="00F75D19">
      <w:pPr>
        <w:pStyle w:val="a6"/>
        <w:widowControl w:val="0"/>
        <w:spacing w:after="0" w:line="32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</w:pPr>
    </w:p>
    <w:p w:rsidR="00F75D19" w:rsidRPr="00FB3D24" w:rsidRDefault="00F75D19" w:rsidP="00F75D19">
      <w:pPr>
        <w:pStyle w:val="a6"/>
        <w:widowControl w:val="0"/>
        <w:spacing w:after="0" w:line="320" w:lineRule="exact"/>
        <w:ind w:leftChars="0" w:left="0" w:firstLine="360"/>
        <w:jc w:val="both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當局建議將現行通報的內容標準化，包括</w:t>
      </w:r>
      <w:r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有關人士的涉嫌罪名</w:t>
      </w:r>
      <w:r w:rsidR="00247B7D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及相關法律依據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、被</w:t>
      </w:r>
      <w:r w:rsidR="00247B7D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採取刑事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強制措施</w:t>
      </w:r>
      <w:r w:rsidR="00247B7D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或拘留的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地點、</w:t>
      </w:r>
      <w:r w:rsidR="0074293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涉案經辦人員等基本資料，</w:t>
      </w:r>
      <w:r w:rsidR="005715DB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惟新安排並</w:t>
      </w:r>
      <w:r w:rsidR="00247B7D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未有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新增</w:t>
      </w:r>
      <w:r w:rsidR="00247B7D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去年兩地政府商討時提及有關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犯罪嫌疑人所涉案件的案情摘要。</w:t>
      </w:r>
    </w:p>
    <w:p w:rsidR="00F75D19" w:rsidRPr="00FB3D24" w:rsidRDefault="005715DB" w:rsidP="00F75D19">
      <w:pPr>
        <w:pStyle w:val="a6"/>
        <w:widowControl w:val="0"/>
        <w:spacing w:after="0" w:line="320" w:lineRule="exact"/>
        <w:ind w:leftChars="0" w:left="0" w:firstLine="36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lastRenderedPageBreak/>
        <w:t>本</w:t>
      </w:r>
      <w:r w:rsidR="00F75D19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會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認為</w:t>
      </w:r>
      <w:r w:rsidR="00F75D19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新增案情摘要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非常重要</w:t>
      </w:r>
      <w:r w:rsidR="00F75D19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因為此有助有關人士之親屬更全面掌握當事人的</w:t>
      </w:r>
      <w:r w:rsidR="0070343E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情況，避免家人蒙在鼓裡；由於執法機關需交詳盡交代案件情況，這亦有助監督執法機關行使法定權力。</w:t>
      </w:r>
      <w:proofErr w:type="gramStart"/>
      <w:r w:rsidR="0070343E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此外，</w:t>
      </w:r>
      <w:proofErr w:type="gramEnd"/>
      <w:r w:rsidR="0070343E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新安排亦</w:t>
      </w:r>
      <w:r w:rsidR="00F75D19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未有研究通報個案以後當事人需要的法律協助。</w:t>
      </w:r>
      <w:r w:rsidR="00F75D19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當局</w:t>
      </w:r>
      <w:r w:rsidR="00F75D19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應研究向當事人及其家人的法律支援，包括</w:t>
      </w:r>
      <w:r w:rsidR="00F75D19" w:rsidRPr="00FB3D2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 xml:space="preserve">: </w:t>
      </w:r>
      <w:r w:rsidR="00F75D19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闡釋刑事案件處理程式、犯罪嫌疑人的法律權益，並研究為未有能力自行委聘法律代表的當事人提供法律援助服務</w:t>
      </w:r>
      <w:r w:rsidR="00F75D19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。</w:t>
      </w:r>
    </w:p>
    <w:p w:rsidR="005E3137" w:rsidRPr="00FB3D24" w:rsidRDefault="005E3137" w:rsidP="00F75D19">
      <w:pPr>
        <w:pStyle w:val="a6"/>
        <w:widowControl w:val="0"/>
        <w:spacing w:after="0" w:line="320" w:lineRule="exact"/>
        <w:ind w:leftChars="0" w:left="0" w:firstLine="360"/>
        <w:jc w:val="both"/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</w:pPr>
    </w:p>
    <w:p w:rsidR="00EF620C" w:rsidRPr="00FB3D24" w:rsidRDefault="00D12113" w:rsidP="007E5662">
      <w:pPr>
        <w:pStyle w:val="a6"/>
        <w:widowControl w:val="0"/>
        <w:numPr>
          <w:ilvl w:val="0"/>
          <w:numId w:val="4"/>
        </w:numPr>
        <w:spacing w:after="0" w:line="320" w:lineRule="exact"/>
        <w:ind w:leftChars="0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通報範圍過於狹窄</w:t>
      </w:r>
      <w:r w:rsidRPr="00FB3D2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 xml:space="preserve"> </w:t>
      </w:r>
      <w:r w:rsidR="009933A0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 xml:space="preserve">   </w:t>
      </w:r>
      <w:proofErr w:type="gramStart"/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未包所有</w:t>
      </w:r>
      <w:proofErr w:type="gramEnd"/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刑事案件或行政拘留</w:t>
      </w:r>
    </w:p>
    <w:p w:rsidR="00EF620C" w:rsidRPr="00FB3D24" w:rsidRDefault="00EF620C" w:rsidP="007E5662">
      <w:pPr>
        <w:pStyle w:val="a6"/>
        <w:widowControl w:val="0"/>
        <w:spacing w:after="0" w:line="320" w:lineRule="exact"/>
        <w:ind w:leftChars="0" w:left="36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920A7" w:rsidRPr="00FB3D24" w:rsidRDefault="001A4141" w:rsidP="001A4141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spacing w:val="9"/>
          <w:sz w:val="26"/>
          <w:szCs w:val="26"/>
          <w:shd w:val="clear" w:color="auto" w:fill="FFFFFF"/>
          <w:lang w:eastAsia="zh-TW"/>
        </w:rPr>
        <w:t>本會歡迎</w:t>
      </w:r>
      <w:r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新安排要求兩地所有</w:t>
      </w:r>
      <w:proofErr w:type="gramStart"/>
      <w:r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有</w:t>
      </w:r>
      <w:proofErr w:type="gramEnd"/>
      <w:r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權採取刑事強制的執法部門</w:t>
      </w:r>
      <w:r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(</w:t>
      </w:r>
      <w:r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即公安機關、國家安全機關、海關緝私部門、檢察機關、香港警務處、香港海關、入境事務處、廉政公署</w:t>
      </w:r>
      <w:r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)</w:t>
      </w:r>
      <w:r w:rsidRPr="00FB3D24">
        <w:rPr>
          <w:rFonts w:ascii="Times New Roman" w:eastAsia="標楷體" w:hAnsi="Times New Roman" w:cs="Times New Roman"/>
          <w:spacing w:val="9"/>
          <w:sz w:val="26"/>
          <w:szCs w:val="26"/>
          <w:shd w:val="clear" w:color="auto" w:fill="FFFFFF"/>
          <w:lang w:eastAsia="zh-TW"/>
        </w:rPr>
        <w:t>，惟</w:t>
      </w:r>
      <w:r w:rsidR="00742934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在通報範圍方面，新安排</w:t>
      </w:r>
      <w:r w:rsidR="0074293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大體</w:t>
      </w:r>
      <w:bookmarkStart w:id="0" w:name="_GoBack"/>
      <w:bookmarkEnd w:id="0"/>
      <w:r w:rsidR="00742934"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上是</w:t>
      </w:r>
      <w:r w:rsidR="00176A76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參照</w:t>
      </w:r>
      <w:r w:rsidR="00D12113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現行通報機制</w:t>
      </w:r>
      <w:r w:rsidR="00176A76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的通報範圍，即</w:t>
      </w:r>
      <w:r w:rsidR="00D12113" w:rsidRPr="00FB3D24">
        <w:rPr>
          <w:rFonts w:ascii="Times New Roman" w:eastAsia="標楷體" w:hAnsi="Times New Roman" w:cs="Times New Roman"/>
          <w:sz w:val="26"/>
          <w:szCs w:val="26"/>
          <w:lang w:eastAsia="zh-TW"/>
        </w:rPr>
        <w:t>通報</w:t>
      </w:r>
      <w:r w:rsidR="00D12113" w:rsidRPr="00FB3D24">
        <w:rPr>
          <w:rFonts w:ascii="Times New Roman" w:eastAsia="標楷體" w:hAnsi="Times New Roman" w:cs="Times New Roman"/>
          <w:spacing w:val="18"/>
          <w:sz w:val="26"/>
          <w:szCs w:val="26"/>
          <w:shd w:val="clear" w:color="auto" w:fill="FFFFFF"/>
          <w:lang w:eastAsia="zh-TW"/>
        </w:rPr>
        <w:t>刑事檢控、刑事強制措施及非正常死亡個案</w:t>
      </w:r>
      <w:r w:rsidR="00176A76" w:rsidRPr="00FB3D24">
        <w:rPr>
          <w:rFonts w:ascii="Times New Roman" w:eastAsia="標楷體" w:hAnsi="Times New Roman" w:cs="Times New Roman"/>
          <w:spacing w:val="18"/>
          <w:sz w:val="26"/>
          <w:szCs w:val="26"/>
          <w:shd w:val="clear" w:color="auto" w:fill="FFFFFF"/>
          <w:lang w:eastAsia="zh-TW"/>
        </w:rPr>
        <w:t>三大類別案件</w:t>
      </w:r>
      <w:r w:rsidR="00D12113" w:rsidRPr="00FB3D24">
        <w:rPr>
          <w:rFonts w:ascii="Times New Roman" w:eastAsia="標楷體" w:hAnsi="Times New Roman" w:cs="Times New Roman"/>
          <w:spacing w:val="18"/>
          <w:sz w:val="26"/>
          <w:szCs w:val="26"/>
          <w:shd w:val="clear" w:color="auto" w:fill="FFFFFF"/>
          <w:lang w:eastAsia="zh-TW"/>
        </w:rPr>
        <w:t>，</w:t>
      </w:r>
      <w:r w:rsidR="00176A76" w:rsidRPr="00FB3D24">
        <w:rPr>
          <w:rFonts w:ascii="Times New Roman" w:eastAsia="標楷體" w:hAnsi="Times New Roman" w:cs="Times New Roman"/>
          <w:spacing w:val="18"/>
          <w:sz w:val="26"/>
          <w:szCs w:val="26"/>
          <w:shd w:val="clear" w:color="auto" w:fill="FFFFFF"/>
          <w:lang w:eastAsia="zh-TW"/>
        </w:rPr>
        <w:t>新安排</w:t>
      </w:r>
      <w:r w:rsidR="00443259" w:rsidRPr="00FB3D24">
        <w:rPr>
          <w:rFonts w:ascii="Times New Roman" w:eastAsia="標楷體" w:hAnsi="Times New Roman" w:cs="Times New Roman"/>
          <w:spacing w:val="18"/>
          <w:sz w:val="26"/>
          <w:szCs w:val="26"/>
          <w:shd w:val="clear" w:color="auto" w:fill="FFFFFF"/>
          <w:lang w:eastAsia="zh-TW"/>
        </w:rPr>
        <w:t>並</w:t>
      </w:r>
      <w:r w:rsidR="00C77BF8" w:rsidRPr="00FB3D24">
        <w:rPr>
          <w:rFonts w:ascii="Times New Roman" w:eastAsia="標楷體" w:hAnsi="Times New Roman" w:cs="Times New Roman"/>
          <w:spacing w:val="18"/>
          <w:sz w:val="26"/>
          <w:szCs w:val="26"/>
          <w:shd w:val="clear" w:color="auto" w:fill="FFFFFF"/>
          <w:lang w:eastAsia="zh-TW"/>
        </w:rPr>
        <w:t>無</w:t>
      </w:r>
      <w:r w:rsidR="00D12113" w:rsidRPr="00FB3D24">
        <w:rPr>
          <w:rFonts w:ascii="Times New Roman" w:eastAsia="標楷體" w:hAnsi="Times New Roman" w:cs="Times New Roman"/>
          <w:spacing w:val="18"/>
          <w:sz w:val="26"/>
          <w:szCs w:val="26"/>
          <w:shd w:val="clear" w:color="auto" w:fill="FFFFFF"/>
          <w:lang w:eastAsia="zh-TW"/>
        </w:rPr>
        <w:t>擴大通報案件類別範圍。</w:t>
      </w:r>
      <w:r w:rsidRPr="00FB3D24">
        <w:rPr>
          <w:rFonts w:ascii="Times New Roman" w:eastAsia="標楷體" w:hAnsi="Times New Roman" w:cs="Times New Roman"/>
          <w:b/>
          <w:spacing w:val="18"/>
          <w:sz w:val="26"/>
          <w:szCs w:val="26"/>
          <w:shd w:val="clear" w:color="auto" w:fill="FFFFFF"/>
          <w:lang w:eastAsia="zh-TW"/>
        </w:rPr>
        <w:t>事實上</w:t>
      </w:r>
      <w:r w:rsidR="00D12113" w:rsidRPr="00FB3D24">
        <w:rPr>
          <w:rFonts w:ascii="Times New Roman" w:eastAsia="標楷體" w:hAnsi="Times New Roman" w:cs="Times New Roman"/>
          <w:b/>
          <w:spacing w:val="18"/>
          <w:sz w:val="26"/>
          <w:szCs w:val="26"/>
          <w:shd w:val="clear" w:color="auto" w:fill="FFFFFF"/>
          <w:lang w:eastAsia="zh-TW"/>
        </w:rPr>
        <w:t>，由於內地執法部門亦可以根據</w:t>
      </w:r>
      <w:r w:rsidR="00D12113" w:rsidRPr="00FB3D24">
        <w:rPr>
          <w:rFonts w:ascii="Times New Roman" w:eastAsia="標楷體" w:hAnsi="Times New Roman" w:cs="Times New Roman"/>
          <w:b/>
          <w:sz w:val="26"/>
          <w:szCs w:val="26"/>
          <w:shd w:val="clear" w:color="auto" w:fill="FFFFFF"/>
          <w:lang w:eastAsia="zh-TW"/>
        </w:rPr>
        <w:t>《治安管理處罰法》</w:t>
      </w:r>
      <w:r w:rsidR="002A2639" w:rsidRPr="00FB3D24">
        <w:rPr>
          <w:rStyle w:val="a5"/>
          <w:rFonts w:ascii="Times New Roman" w:eastAsia="標楷體" w:hAnsi="Times New Roman" w:cs="Times New Roman"/>
          <w:b/>
          <w:sz w:val="26"/>
          <w:szCs w:val="26"/>
          <w:shd w:val="clear" w:color="auto" w:fill="FFFFFF"/>
          <w:lang w:eastAsia="zh-TW"/>
        </w:rPr>
        <w:footnoteReference w:id="3"/>
      </w:r>
      <w:r w:rsidR="00D12113" w:rsidRPr="00FB3D24">
        <w:rPr>
          <w:rFonts w:ascii="Times New Roman" w:eastAsia="標楷體" w:hAnsi="Times New Roman" w:cs="Times New Roman"/>
          <w:b/>
          <w:spacing w:val="18"/>
          <w:sz w:val="26"/>
          <w:szCs w:val="26"/>
          <w:shd w:val="clear" w:color="auto" w:fill="FFFFFF"/>
          <w:lang w:eastAsia="zh-TW"/>
        </w:rPr>
        <w:t>對違犯該法例的人士處以不多於</w:t>
      </w:r>
      <w:r w:rsidR="00D12113" w:rsidRPr="00FB3D24">
        <w:rPr>
          <w:rFonts w:ascii="Times New Roman" w:eastAsia="標楷體" w:hAnsi="Times New Roman" w:cs="Times New Roman"/>
          <w:b/>
          <w:spacing w:val="18"/>
          <w:sz w:val="26"/>
          <w:szCs w:val="26"/>
          <w:shd w:val="clear" w:color="auto" w:fill="FFFFFF"/>
          <w:lang w:eastAsia="zh-TW"/>
        </w:rPr>
        <w:t>15</w:t>
      </w:r>
      <w:r w:rsidR="00D12113" w:rsidRPr="00FB3D24">
        <w:rPr>
          <w:rFonts w:ascii="Times New Roman" w:eastAsia="標楷體" w:hAnsi="Times New Roman" w:cs="Times New Roman"/>
          <w:b/>
          <w:spacing w:val="18"/>
          <w:sz w:val="26"/>
          <w:szCs w:val="26"/>
          <w:shd w:val="clear" w:color="auto" w:fill="FFFFFF"/>
          <w:lang w:eastAsia="zh-TW"/>
        </w:rPr>
        <w:t>天的行政拘留，因應有</w:t>
      </w:r>
      <w:r w:rsidR="00D12113" w:rsidRPr="003649BA">
        <w:rPr>
          <w:rFonts w:ascii="Times New Roman" w:eastAsia="標楷體" w:hAnsi="Times New Roman" w:cs="Times New Roman"/>
          <w:b/>
          <w:spacing w:val="18"/>
          <w:sz w:val="26"/>
          <w:szCs w:val="26"/>
          <w:shd w:val="clear" w:color="auto" w:fill="FFFFFF"/>
          <w:lang w:eastAsia="zh-TW"/>
        </w:rPr>
        <w:t>關條例對人身自由的限制，通報機制理應包括涉及處以行政拘留的個案。</w:t>
      </w:r>
      <w:proofErr w:type="gramStart"/>
      <w:r w:rsidR="00523E5A" w:rsidRPr="003649BA">
        <w:rPr>
          <w:rFonts w:ascii="Times New Roman" w:eastAsia="標楷體" w:hAnsi="Times New Roman" w:cs="Times New Roman" w:hint="eastAsia"/>
          <w:b/>
          <w:spacing w:val="18"/>
          <w:sz w:val="26"/>
          <w:szCs w:val="26"/>
          <w:shd w:val="clear" w:color="auto" w:fill="FFFFFF"/>
          <w:lang w:eastAsia="zh-TW"/>
        </w:rPr>
        <w:t>此外，</w:t>
      </w:r>
      <w:proofErr w:type="gramEnd"/>
      <w:r w:rsidR="00523E5A" w:rsidRPr="003649BA">
        <w:rPr>
          <w:rFonts w:ascii="Times New Roman" w:eastAsia="標楷體" w:hAnsi="Times New Roman" w:cs="Times New Roman" w:hint="eastAsia"/>
          <w:b/>
          <w:spacing w:val="18"/>
          <w:sz w:val="26"/>
          <w:szCs w:val="26"/>
          <w:shd w:val="clear" w:color="auto" w:fill="FFFFFF"/>
          <w:lang w:eastAsia="zh-TW"/>
        </w:rPr>
        <w:t>日後若兩地設立其他可採取刑事強制措施的執法部門，例如</w:t>
      </w:r>
      <w:r w:rsidR="00523E5A" w:rsidRPr="003649BA">
        <w:rPr>
          <w:rFonts w:ascii="Times New Roman" w:eastAsia="標楷體" w:hAnsi="Times New Roman" w:cs="Times New Roman" w:hint="eastAsia"/>
          <w:b/>
          <w:spacing w:val="18"/>
          <w:sz w:val="26"/>
          <w:szCs w:val="26"/>
          <w:shd w:val="clear" w:color="auto" w:fill="FFFFFF"/>
          <w:lang w:eastAsia="zh-TW"/>
        </w:rPr>
        <w:t>:</w:t>
      </w:r>
      <w:r w:rsidR="00523E5A" w:rsidRPr="003649BA">
        <w:rPr>
          <w:rFonts w:ascii="Times New Roman" w:eastAsia="標楷體" w:hAnsi="Times New Roman" w:cs="Times New Roman" w:hint="eastAsia"/>
          <w:b/>
          <w:spacing w:val="18"/>
          <w:sz w:val="26"/>
          <w:szCs w:val="26"/>
          <w:shd w:val="clear" w:color="auto" w:fill="FFFFFF"/>
          <w:lang w:eastAsia="zh-TW"/>
        </w:rPr>
        <w:t>近期研究成立的國家監察委員會，亦應包括入通報機制的適用機關</w:t>
      </w:r>
      <w:r w:rsidR="00AA2244" w:rsidRPr="003649BA">
        <w:rPr>
          <w:rFonts w:ascii="Times New Roman" w:eastAsia="標楷體" w:hAnsi="Times New Roman" w:cs="Times New Roman" w:hint="eastAsia"/>
          <w:b/>
          <w:spacing w:val="18"/>
          <w:sz w:val="26"/>
          <w:szCs w:val="26"/>
          <w:shd w:val="clear" w:color="auto" w:fill="FFFFFF"/>
          <w:lang w:eastAsia="zh-TW"/>
        </w:rPr>
        <w:t>中</w:t>
      </w:r>
      <w:r w:rsidR="00523E5A" w:rsidRPr="003649BA">
        <w:rPr>
          <w:rFonts w:ascii="Times New Roman" w:eastAsia="標楷體" w:hAnsi="Times New Roman" w:cs="Times New Roman" w:hint="eastAsia"/>
          <w:b/>
          <w:spacing w:val="18"/>
          <w:sz w:val="26"/>
          <w:szCs w:val="26"/>
          <w:shd w:val="clear" w:color="auto" w:fill="FFFFFF"/>
          <w:lang w:eastAsia="zh-TW"/>
        </w:rPr>
        <w:t>。</w:t>
      </w:r>
      <w:r w:rsidR="00D12113" w:rsidRPr="003649BA">
        <w:rPr>
          <w:rFonts w:ascii="Times New Roman" w:eastAsia="標楷體" w:hAnsi="Times New Roman" w:cs="Times New Roman"/>
          <w:spacing w:val="18"/>
          <w:sz w:val="26"/>
          <w:szCs w:val="26"/>
          <w:shd w:val="clear" w:color="auto" w:fill="FFFFFF"/>
          <w:lang w:eastAsia="zh-TW"/>
        </w:rPr>
        <w:t>另外，機制更</w:t>
      </w:r>
      <w:r w:rsidR="00D12113" w:rsidRPr="003649BA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>應擴大職能，包括處理家屬及當事人就被施以</w:t>
      </w:r>
      <w:r w:rsidR="00D12113" w:rsidRPr="00FB3D24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>強制措施提出的質疑及投訴。</w:t>
      </w:r>
    </w:p>
    <w:p w:rsidR="00EF620C" w:rsidRPr="00FB3D24" w:rsidRDefault="00EF620C" w:rsidP="007E5662">
      <w:pPr>
        <w:widowControl w:val="0"/>
        <w:spacing w:after="0" w:line="320" w:lineRule="exact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</w:pPr>
    </w:p>
    <w:p w:rsidR="00044EEF" w:rsidRPr="00FB3D24" w:rsidRDefault="0079469C" w:rsidP="0079469C">
      <w:pPr>
        <w:pStyle w:val="a6"/>
        <w:widowControl w:val="0"/>
        <w:numPr>
          <w:ilvl w:val="0"/>
          <w:numId w:val="4"/>
        </w:numPr>
        <w:spacing w:after="0" w:line="320" w:lineRule="exact"/>
        <w:ind w:leftChars="0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新機制僅屬行政安排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 xml:space="preserve">  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徒具法律約束力</w:t>
      </w:r>
      <w:r w:rsidR="00D12113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及欠透明</w:t>
      </w:r>
    </w:p>
    <w:p w:rsidR="00B64695" w:rsidRPr="00FB3D24" w:rsidRDefault="00B64695" w:rsidP="007E5662">
      <w:pPr>
        <w:pStyle w:val="a6"/>
        <w:widowControl w:val="0"/>
        <w:spacing w:after="0" w:line="320" w:lineRule="exact"/>
        <w:ind w:leftChars="0" w:left="360"/>
        <w:jc w:val="both"/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</w:pPr>
    </w:p>
    <w:p w:rsidR="0079469C" w:rsidRPr="00FB3D24" w:rsidRDefault="00D12113" w:rsidP="0079469C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由於通報機制</w:t>
      </w:r>
      <w:r w:rsidR="00926FDD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僅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屬兩地政府之間的行政安排，缺乏法律約束力；縱使</w:t>
      </w:r>
      <w:r w:rsidR="0079469C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有人或部門不遵循新安排亦無任何法律責任，令人懷疑新安排在具體操作上的可行性。</w:t>
      </w:r>
      <w:r w:rsidR="0079469C"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為此，</w:t>
      </w:r>
      <w:r w:rsidR="0079469C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本會促請兩地政府</w:t>
      </w:r>
      <w:r w:rsidR="0079469C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將新安排列為兩地各自的法例及附屬法例，並加入違反安排的懲處機制，以</w:t>
      </w:r>
      <w:r w:rsidR="0079469C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監管兩地執法機關恪守機制。</w:t>
      </w:r>
    </w:p>
    <w:p w:rsidR="0079469C" w:rsidRPr="00FB3D24" w:rsidRDefault="0079469C" w:rsidP="007E5662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21DDC" w:rsidRPr="00FB3D24" w:rsidRDefault="00D12113" w:rsidP="007E5662">
      <w:pPr>
        <w:widowControl w:val="0"/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</w:pPr>
      <w:proofErr w:type="gramStart"/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此外，</w:t>
      </w:r>
      <w:proofErr w:type="gramEnd"/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為加強向</w:t>
      </w:r>
      <w:proofErr w:type="gramStart"/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公眾問責</w:t>
      </w:r>
      <w:proofErr w:type="gramEnd"/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</w:t>
      </w:r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當局更應依據內地法規，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定期檢視被採取強制措施的個案情況，就個案有否超出法定扣押期限、未按機制通報、採取強制措施類別、涉及罪行、施行強制措施所在地等搜集有關數據</w:t>
      </w:r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，每年就個案趨勢作整體分析，</w:t>
      </w:r>
      <w:r w:rsidR="00781274"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並向公眾公佈數據及檢討報告，</w:t>
      </w:r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以進一步</w:t>
      </w:r>
      <w:r w:rsidR="002746B4"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完善通報</w:t>
      </w:r>
      <w:r w:rsidRPr="00FB3D24">
        <w:rPr>
          <w:rFonts w:ascii="Times New Roman" w:eastAsia="標楷體" w:hAnsi="Times New Roman" w:cs="Times New Roman" w:hint="eastAsia"/>
          <w:spacing w:val="10"/>
          <w:sz w:val="26"/>
          <w:szCs w:val="26"/>
          <w:lang w:eastAsia="zh-TW"/>
        </w:rPr>
        <w:t>機制。</w:t>
      </w:r>
    </w:p>
    <w:p w:rsidR="009516E9" w:rsidRPr="00FB3D24" w:rsidRDefault="009516E9" w:rsidP="007E5662">
      <w:pPr>
        <w:spacing w:after="0" w:line="32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93E05" w:rsidRPr="00FB3D24" w:rsidRDefault="00F93E05" w:rsidP="007E5662">
      <w:pPr>
        <w:spacing w:after="0" w:line="320" w:lineRule="exact"/>
        <w:ind w:firstLine="36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為此，本會建議如下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:</w:t>
      </w:r>
    </w:p>
    <w:p w:rsidR="00F93E05" w:rsidRPr="00FB3D24" w:rsidRDefault="00F93E05" w:rsidP="007E5662">
      <w:pPr>
        <w:spacing w:after="0" w:line="32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93E05" w:rsidRPr="00FB3D24" w:rsidRDefault="00F93E05" w:rsidP="007E5662">
      <w:pPr>
        <w:pStyle w:val="a6"/>
        <w:numPr>
          <w:ilvl w:val="0"/>
          <w:numId w:val="6"/>
        </w:numPr>
        <w:spacing w:after="0" w:line="320" w:lineRule="exact"/>
        <w:ind w:leftChars="0" w:left="357" w:hanging="357"/>
        <w:rPr>
          <w:b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通報時限應改為由犯罪嫌疑人被限制人身自由</w:t>
      </w:r>
      <w:r w:rsidR="00813F31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起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不多於</w:t>
      </w:r>
      <w:r w:rsidRPr="00FB3D24">
        <w:rPr>
          <w:rFonts w:ascii="Times New Roman" w:eastAsia="標楷體" w:hAnsi="Times New Roman" w:cs="Times New Roman"/>
          <w:b/>
          <w:spacing w:val="10"/>
          <w:sz w:val="26"/>
          <w:szCs w:val="26"/>
          <w:lang w:eastAsia="zh-TW"/>
        </w:rPr>
        <w:t>24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小時</w:t>
      </w:r>
      <w:r w:rsidR="00813F31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內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，執法部門便應向雙方政府作出通報</w:t>
      </w:r>
      <w:r w:rsidR="00813F31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，若變更或延長任何強制措施亦然。</w:t>
      </w:r>
    </w:p>
    <w:p w:rsidR="009933A0" w:rsidRPr="00FB3D24" w:rsidRDefault="009933A0" w:rsidP="007E5662">
      <w:pPr>
        <w:pStyle w:val="a6"/>
        <w:numPr>
          <w:ilvl w:val="0"/>
          <w:numId w:val="6"/>
        </w:numPr>
        <w:spacing w:after="0" w:line="320" w:lineRule="exact"/>
        <w:ind w:leftChars="0" w:left="357" w:hanging="357"/>
        <w:rPr>
          <w:b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通報機制通報範圍應擴大至</w:t>
      </w:r>
      <w:r w:rsidRPr="00FB3D24">
        <w:rPr>
          <w:rFonts w:ascii="Times New Roman" w:eastAsia="標楷體" w:hAnsi="Times New Roman" w:cs="Times New Roman" w:hint="eastAsia"/>
          <w:b/>
          <w:spacing w:val="18"/>
          <w:sz w:val="26"/>
          <w:szCs w:val="26"/>
          <w:shd w:val="clear" w:color="auto" w:fill="FFFFFF"/>
          <w:lang w:eastAsia="zh-TW"/>
        </w:rPr>
        <w:t>行政拘留個案</w:t>
      </w:r>
      <w:r w:rsidR="00213504" w:rsidRPr="00FB3D24">
        <w:rPr>
          <w:rFonts w:ascii="Times New Roman" w:eastAsia="標楷體" w:hAnsi="Times New Roman" w:cs="Times New Roman" w:hint="eastAsia"/>
          <w:b/>
          <w:spacing w:val="18"/>
          <w:sz w:val="26"/>
          <w:szCs w:val="26"/>
          <w:shd w:val="clear" w:color="auto" w:fill="FFFFFF"/>
          <w:lang w:eastAsia="zh-TW"/>
        </w:rPr>
        <w:t>。</w:t>
      </w:r>
    </w:p>
    <w:p w:rsidR="00781274" w:rsidRPr="00FB3D24" w:rsidRDefault="00781274" w:rsidP="007E5662">
      <w:pPr>
        <w:pStyle w:val="a6"/>
        <w:numPr>
          <w:ilvl w:val="0"/>
          <w:numId w:val="6"/>
        </w:numPr>
        <w:spacing w:after="0" w:line="320" w:lineRule="exact"/>
        <w:ind w:leftChars="0" w:left="357" w:hanging="357"/>
        <w:rPr>
          <w:b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兩地政府</w:t>
      </w:r>
      <w:r w:rsidR="00861F51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應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立法</w:t>
      </w:r>
      <w:r w:rsidR="0030663C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規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範</w:t>
      </w:r>
      <w:r w:rsidR="006E0ED4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通報機制，以監督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兩地執法機關</w:t>
      </w:r>
      <w:r w:rsidR="006E0ED4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人員嚴格遵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守機制。</w:t>
      </w:r>
    </w:p>
    <w:p w:rsidR="00781274" w:rsidRPr="00FB3D24" w:rsidRDefault="009933A0" w:rsidP="007E5662">
      <w:pPr>
        <w:pStyle w:val="a6"/>
        <w:numPr>
          <w:ilvl w:val="0"/>
          <w:numId w:val="6"/>
        </w:numPr>
        <w:spacing w:after="0" w:line="320" w:lineRule="exact"/>
        <w:ind w:leftChars="0" w:left="357" w:hanging="357"/>
        <w:rPr>
          <w:b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為當事人及其家人的法律支援，包括</w:t>
      </w:r>
      <w:r w:rsidRPr="00FB3D24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 xml:space="preserve">: </w:t>
      </w: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闡釋刑事案件處理程式、犯罪嫌疑人的法律權益，並研究為未有能力自行委聘法律代表的當事人提供法律援助服務</w:t>
      </w:r>
      <w:r w:rsidRPr="00FB3D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。</w:t>
      </w:r>
    </w:p>
    <w:p w:rsidR="009933A0" w:rsidRPr="00FB3D24" w:rsidRDefault="009933A0" w:rsidP="007E5662">
      <w:pPr>
        <w:pStyle w:val="a6"/>
        <w:numPr>
          <w:ilvl w:val="0"/>
          <w:numId w:val="6"/>
        </w:numPr>
        <w:spacing w:after="0" w:line="320" w:lineRule="exact"/>
        <w:ind w:leftChars="0" w:left="357" w:hanging="357"/>
        <w:rPr>
          <w:b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定期檢視</w:t>
      </w:r>
      <w:r w:rsidR="00A26D21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及分析</w:t>
      </w:r>
      <w:r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被採取強制措施的個案情況，</w:t>
      </w:r>
      <w:r w:rsidR="00A26D21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並</w:t>
      </w:r>
      <w:r w:rsidR="00725787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向</w:t>
      </w:r>
      <w:r w:rsidR="00893D14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公眾公佈</w:t>
      </w:r>
      <w:r w:rsidR="006643B3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數</w:t>
      </w:r>
      <w:r w:rsidR="00893D14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據及研究</w:t>
      </w:r>
      <w:r w:rsidR="00171659" w:rsidRPr="00FB3D24">
        <w:rPr>
          <w:rFonts w:ascii="Times New Roman" w:eastAsia="標楷體" w:hAnsi="Times New Roman" w:cs="Times New Roman" w:hint="eastAsia"/>
          <w:b/>
          <w:spacing w:val="10"/>
          <w:sz w:val="26"/>
          <w:szCs w:val="26"/>
          <w:lang w:eastAsia="zh-TW"/>
        </w:rPr>
        <w:t>。</w:t>
      </w:r>
    </w:p>
    <w:p w:rsidR="00D676E2" w:rsidRPr="00FB3D24" w:rsidRDefault="00D676E2" w:rsidP="007E5662">
      <w:pPr>
        <w:pStyle w:val="a6"/>
        <w:spacing w:after="0" w:line="320" w:lineRule="exact"/>
        <w:ind w:leftChars="0" w:left="357"/>
        <w:rPr>
          <w:b/>
          <w:sz w:val="26"/>
          <w:szCs w:val="26"/>
          <w:lang w:eastAsia="zh-TW"/>
        </w:rPr>
      </w:pPr>
    </w:p>
    <w:p w:rsidR="00186230" w:rsidRPr="00FB3D24" w:rsidRDefault="00D12113" w:rsidP="007E5662">
      <w:pPr>
        <w:spacing w:after="0" w:line="320" w:lineRule="exact"/>
        <w:jc w:val="right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香港社區組織協會</w:t>
      </w:r>
    </w:p>
    <w:p w:rsidR="005E3137" w:rsidRPr="00FB3D24" w:rsidRDefault="005E3137" w:rsidP="007E5662">
      <w:pPr>
        <w:spacing w:after="0" w:line="320" w:lineRule="exact"/>
        <w:jc w:val="both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二零一七年十二月十四</w:t>
      </w:r>
      <w:r w:rsidR="00D12113" w:rsidRPr="00FB3D24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日</w:t>
      </w:r>
    </w:p>
    <w:sectPr w:rsidR="005E3137" w:rsidRPr="00FB3D24" w:rsidSect="003921F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AC" w:rsidRDefault="003D2FAC" w:rsidP="00583A63">
      <w:pPr>
        <w:spacing w:after="0" w:line="240" w:lineRule="auto"/>
      </w:pPr>
      <w:r>
        <w:separator/>
      </w:r>
    </w:p>
  </w:endnote>
  <w:endnote w:type="continuationSeparator" w:id="0">
    <w:p w:rsidR="003D2FAC" w:rsidRDefault="003D2FAC" w:rsidP="0058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AC" w:rsidRDefault="003D2FAC" w:rsidP="00583A63">
      <w:pPr>
        <w:spacing w:after="0" w:line="240" w:lineRule="auto"/>
      </w:pPr>
      <w:r>
        <w:separator/>
      </w:r>
    </w:p>
  </w:footnote>
  <w:footnote w:type="continuationSeparator" w:id="0">
    <w:p w:rsidR="003D2FAC" w:rsidRDefault="003D2FAC" w:rsidP="00583A63">
      <w:pPr>
        <w:spacing w:after="0" w:line="240" w:lineRule="auto"/>
      </w:pPr>
      <w:r>
        <w:continuationSeparator/>
      </w:r>
    </w:p>
  </w:footnote>
  <w:footnote w:id="1">
    <w:p w:rsidR="00F75D19" w:rsidRDefault="00F75D19">
      <w:pPr>
        <w:pStyle w:val="a3"/>
      </w:pPr>
      <w:r>
        <w:rPr>
          <w:rStyle w:val="a5"/>
        </w:rPr>
        <w:footnoteRef/>
      </w:r>
      <w:r>
        <w:rPr>
          <w:rFonts w:hint="eastAsia"/>
        </w:rPr>
        <w:t xml:space="preserve">  </w:t>
      </w:r>
      <w:r>
        <w:rPr>
          <w:rFonts w:ascii="細明體_HKSCS" w:eastAsia="細明體_HKSCS" w:hAnsi="細明體_HKSCS" w:hint="eastAsia"/>
          <w:color w:val="000000"/>
          <w:spacing w:val="9"/>
          <w:sz w:val="18"/>
          <w:szCs w:val="18"/>
          <w:shd w:val="clear" w:color="auto" w:fill="FFFFFF"/>
        </w:rPr>
        <w:t>特區與內地簽署通報機制新安排文本</w:t>
      </w:r>
      <w:r>
        <w:t xml:space="preserve"> </w:t>
      </w:r>
      <w:hyperlink r:id="rId1" w:history="1">
        <w:r w:rsidRPr="005545B1">
          <w:rPr>
            <w:rStyle w:val="a7"/>
          </w:rPr>
          <w:t>http://www.info.gov.hk/gia/general/201712/14/P2017121400503.htm</w:t>
        </w:r>
      </w:hyperlink>
      <w:r>
        <w:rPr>
          <w:rFonts w:hint="eastAsia"/>
        </w:rPr>
        <w:t xml:space="preserve"> </w:t>
      </w:r>
    </w:p>
  </w:footnote>
  <w:footnote w:id="2">
    <w:p w:rsidR="00B17BA2" w:rsidRDefault="00B17BA2">
      <w:pPr>
        <w:pStyle w:val="a3"/>
      </w:pPr>
      <w:r>
        <w:rPr>
          <w:rStyle w:val="a5"/>
        </w:rPr>
        <w:footnoteRef/>
      </w:r>
      <w:r w:rsidR="00C60267">
        <w:t xml:space="preserve"> </w:t>
      </w:r>
      <w:r w:rsidR="00C60267" w:rsidRPr="002A2639">
        <w:rPr>
          <w:rFonts w:hint="eastAsia"/>
        </w:rPr>
        <w:t>《中華人民共和國刑事訴訟法》</w:t>
      </w:r>
      <w:r w:rsidR="00433EB2">
        <w:rPr>
          <w:rFonts w:hint="eastAsia"/>
        </w:rPr>
        <w:t>第八十三條</w:t>
      </w:r>
      <w:hyperlink r:id="rId2" w:history="1">
        <w:r w:rsidR="00433EB2" w:rsidRPr="005545B1">
          <w:rPr>
            <w:rStyle w:val="a7"/>
          </w:rPr>
          <w:t>http://www.gov.cn/jrzg/2012-03/17/content_2093868.htm</w:t>
        </w:r>
      </w:hyperlink>
      <w:r w:rsidR="002A2639">
        <w:rPr>
          <w:rFonts w:hint="eastAsia"/>
          <w:lang w:eastAsia="zh-CN"/>
        </w:rPr>
        <w:t xml:space="preserve"> </w:t>
      </w:r>
    </w:p>
    <w:p w:rsidR="00433EB2" w:rsidRPr="00433EB2" w:rsidRDefault="00433EB2" w:rsidP="00433EB2">
      <w:pPr>
        <w:spacing w:after="0" w:line="220" w:lineRule="exac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   </w:t>
      </w:r>
      <w:r w:rsidRPr="00433EB2">
        <w:rPr>
          <w:rFonts w:hint="eastAsia"/>
          <w:sz w:val="20"/>
          <w:szCs w:val="20"/>
          <w:lang w:eastAsia="zh-TW"/>
        </w:rPr>
        <w:t>公安機關拘留人的時候，必須出示拘留證。</w:t>
      </w:r>
    </w:p>
    <w:p w:rsidR="00433EB2" w:rsidRPr="00433EB2" w:rsidRDefault="00433EB2" w:rsidP="00433EB2">
      <w:pPr>
        <w:spacing w:after="0" w:line="220" w:lineRule="exact"/>
        <w:rPr>
          <w:sz w:val="20"/>
          <w:szCs w:val="20"/>
          <w:lang w:eastAsia="zh-TW"/>
        </w:rPr>
      </w:pPr>
      <w:r w:rsidRPr="00433EB2">
        <w:rPr>
          <w:sz w:val="20"/>
          <w:szCs w:val="20"/>
          <w:lang w:eastAsia="zh-TW"/>
        </w:rPr>
        <w:t>    </w:t>
      </w:r>
      <w:r w:rsidRPr="00433EB2">
        <w:rPr>
          <w:rFonts w:hint="eastAsia"/>
          <w:sz w:val="20"/>
          <w:szCs w:val="20"/>
          <w:lang w:eastAsia="zh-TW"/>
        </w:rPr>
        <w:t>拘留後，應當立即將被拘留人送看守所羈押，至遲不得超過二十四小時。除無法通知或者涉嫌危害國家安全犯罪、恐怖活動犯罪通知可能有礙偵查的情形</w:t>
      </w:r>
      <w:proofErr w:type="gramStart"/>
      <w:r w:rsidRPr="00433EB2">
        <w:rPr>
          <w:rFonts w:hint="eastAsia"/>
          <w:sz w:val="20"/>
          <w:szCs w:val="20"/>
          <w:lang w:eastAsia="zh-TW"/>
        </w:rPr>
        <w:t>以外，</w:t>
      </w:r>
      <w:proofErr w:type="gramEnd"/>
      <w:r w:rsidRPr="00433EB2">
        <w:rPr>
          <w:rFonts w:hint="eastAsia"/>
          <w:sz w:val="20"/>
          <w:szCs w:val="20"/>
          <w:lang w:eastAsia="zh-TW"/>
        </w:rPr>
        <w:t>應當在拘留後二十四小時</w:t>
      </w:r>
      <w:proofErr w:type="gramStart"/>
      <w:r w:rsidRPr="00433EB2">
        <w:rPr>
          <w:rFonts w:hint="eastAsia"/>
          <w:sz w:val="20"/>
          <w:szCs w:val="20"/>
          <w:lang w:eastAsia="zh-TW"/>
        </w:rPr>
        <w:t>以內，</w:t>
      </w:r>
      <w:proofErr w:type="gramEnd"/>
      <w:r w:rsidRPr="00433EB2">
        <w:rPr>
          <w:rFonts w:hint="eastAsia"/>
          <w:sz w:val="20"/>
          <w:szCs w:val="20"/>
          <w:lang w:eastAsia="zh-TW"/>
        </w:rPr>
        <w:t>通知被拘留人的家屬。有礙偵查的情形消失以後，應當立即通知被拘留人的家屬。</w:t>
      </w:r>
    </w:p>
    <w:p w:rsidR="00433EB2" w:rsidRPr="00433EB2" w:rsidRDefault="00433EB2">
      <w:pPr>
        <w:pStyle w:val="a3"/>
      </w:pPr>
    </w:p>
  </w:footnote>
  <w:footnote w:id="3">
    <w:p w:rsidR="002A2639" w:rsidRDefault="002A2639">
      <w:pPr>
        <w:pStyle w:val="a3"/>
      </w:pPr>
      <w:r>
        <w:rPr>
          <w:rStyle w:val="a5"/>
        </w:rPr>
        <w:footnoteRef/>
      </w:r>
      <w:r w:rsidR="00C60267">
        <w:t xml:space="preserve"> </w:t>
      </w:r>
      <w:r w:rsidR="00C60267" w:rsidRPr="00C60267">
        <w:rPr>
          <w:rFonts w:ascii="SimSun" w:hAnsi="SimSun" w:hint="eastAsia"/>
          <w:color w:val="000000"/>
          <w:shd w:val="clear" w:color="auto" w:fill="FFFFFF"/>
        </w:rPr>
        <w:t>《中華人民共和國治安管理處罰法》</w:t>
      </w:r>
      <w:hyperlink r:id="rId3" w:history="1">
        <w:r w:rsidR="00C60267" w:rsidRPr="00694639">
          <w:rPr>
            <w:rStyle w:val="a7"/>
          </w:rPr>
          <w:t>http://www.gov.cn/flfg/2005-08/29/content_27130.htm</w:t>
        </w:r>
      </w:hyperlink>
      <w:r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AD3"/>
    <w:multiLevelType w:val="hybridMultilevel"/>
    <w:tmpl w:val="2416C1A4"/>
    <w:lvl w:ilvl="0" w:tplc="EC82FBE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471BF"/>
    <w:multiLevelType w:val="hybridMultilevel"/>
    <w:tmpl w:val="A39658AA"/>
    <w:lvl w:ilvl="0" w:tplc="0D38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B8B7367"/>
    <w:multiLevelType w:val="hybridMultilevel"/>
    <w:tmpl w:val="DE6C88D6"/>
    <w:lvl w:ilvl="0" w:tplc="F5928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343DB6"/>
    <w:multiLevelType w:val="hybridMultilevel"/>
    <w:tmpl w:val="5B728E02"/>
    <w:lvl w:ilvl="0" w:tplc="0D38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2F77C9"/>
    <w:multiLevelType w:val="hybridMultilevel"/>
    <w:tmpl w:val="13CA8C16"/>
    <w:lvl w:ilvl="0" w:tplc="750E1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9930E1"/>
    <w:multiLevelType w:val="hybridMultilevel"/>
    <w:tmpl w:val="655AB27C"/>
    <w:lvl w:ilvl="0" w:tplc="E2682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30"/>
    <w:rsid w:val="00044EEF"/>
    <w:rsid w:val="0005073A"/>
    <w:rsid w:val="00083CC9"/>
    <w:rsid w:val="00091135"/>
    <w:rsid w:val="000A4B49"/>
    <w:rsid w:val="000B5B6B"/>
    <w:rsid w:val="000D198B"/>
    <w:rsid w:val="000F531C"/>
    <w:rsid w:val="000F633E"/>
    <w:rsid w:val="00124041"/>
    <w:rsid w:val="00134460"/>
    <w:rsid w:val="00136E7A"/>
    <w:rsid w:val="001416D4"/>
    <w:rsid w:val="00171659"/>
    <w:rsid w:val="00176A76"/>
    <w:rsid w:val="00186230"/>
    <w:rsid w:val="0019285D"/>
    <w:rsid w:val="00193BCB"/>
    <w:rsid w:val="001A4141"/>
    <w:rsid w:val="001C092E"/>
    <w:rsid w:val="001C3861"/>
    <w:rsid w:val="001E45D5"/>
    <w:rsid w:val="0020467E"/>
    <w:rsid w:val="00213504"/>
    <w:rsid w:val="00221E8F"/>
    <w:rsid w:val="00246994"/>
    <w:rsid w:val="00247B7D"/>
    <w:rsid w:val="002531F5"/>
    <w:rsid w:val="002746B4"/>
    <w:rsid w:val="00280331"/>
    <w:rsid w:val="00284F1C"/>
    <w:rsid w:val="002A2639"/>
    <w:rsid w:val="002A40BA"/>
    <w:rsid w:val="002A4F3A"/>
    <w:rsid w:val="002B461D"/>
    <w:rsid w:val="002C1F76"/>
    <w:rsid w:val="002C7852"/>
    <w:rsid w:val="002D2E15"/>
    <w:rsid w:val="002E3F75"/>
    <w:rsid w:val="002E46D5"/>
    <w:rsid w:val="0030443F"/>
    <w:rsid w:val="0030663C"/>
    <w:rsid w:val="00324D78"/>
    <w:rsid w:val="00324E77"/>
    <w:rsid w:val="00345E8C"/>
    <w:rsid w:val="003649BA"/>
    <w:rsid w:val="003757AB"/>
    <w:rsid w:val="003832F2"/>
    <w:rsid w:val="00385E83"/>
    <w:rsid w:val="003921FF"/>
    <w:rsid w:val="003A0BBD"/>
    <w:rsid w:val="003A2C0D"/>
    <w:rsid w:val="003A37B0"/>
    <w:rsid w:val="003C3080"/>
    <w:rsid w:val="003C6213"/>
    <w:rsid w:val="003D2FAC"/>
    <w:rsid w:val="0040405B"/>
    <w:rsid w:val="00404637"/>
    <w:rsid w:val="004072BE"/>
    <w:rsid w:val="00423A62"/>
    <w:rsid w:val="00433EB2"/>
    <w:rsid w:val="00442B62"/>
    <w:rsid w:val="00443259"/>
    <w:rsid w:val="004555D5"/>
    <w:rsid w:val="00467EFC"/>
    <w:rsid w:val="00471352"/>
    <w:rsid w:val="00473B65"/>
    <w:rsid w:val="00474FC2"/>
    <w:rsid w:val="00476DC4"/>
    <w:rsid w:val="004920A7"/>
    <w:rsid w:val="004A2F4F"/>
    <w:rsid w:val="004A56D0"/>
    <w:rsid w:val="004C7557"/>
    <w:rsid w:val="004D462F"/>
    <w:rsid w:val="005004FA"/>
    <w:rsid w:val="00501330"/>
    <w:rsid w:val="00523E5A"/>
    <w:rsid w:val="00525F61"/>
    <w:rsid w:val="0053214B"/>
    <w:rsid w:val="00537DC0"/>
    <w:rsid w:val="00564C21"/>
    <w:rsid w:val="005715DB"/>
    <w:rsid w:val="00583A63"/>
    <w:rsid w:val="005944FA"/>
    <w:rsid w:val="005A08E6"/>
    <w:rsid w:val="005B54E9"/>
    <w:rsid w:val="005D1F32"/>
    <w:rsid w:val="005E3137"/>
    <w:rsid w:val="005E32E5"/>
    <w:rsid w:val="005F00F0"/>
    <w:rsid w:val="005F1850"/>
    <w:rsid w:val="005F3EF8"/>
    <w:rsid w:val="006071AE"/>
    <w:rsid w:val="00613EFF"/>
    <w:rsid w:val="00620A26"/>
    <w:rsid w:val="00625339"/>
    <w:rsid w:val="00645953"/>
    <w:rsid w:val="0064786E"/>
    <w:rsid w:val="00660BEC"/>
    <w:rsid w:val="006643B3"/>
    <w:rsid w:val="00665A50"/>
    <w:rsid w:val="00667FD9"/>
    <w:rsid w:val="00677C0C"/>
    <w:rsid w:val="006A0193"/>
    <w:rsid w:val="006C4A2C"/>
    <w:rsid w:val="006D0C74"/>
    <w:rsid w:val="006D3737"/>
    <w:rsid w:val="006E0ED4"/>
    <w:rsid w:val="006F18BA"/>
    <w:rsid w:val="006F61A1"/>
    <w:rsid w:val="007014E9"/>
    <w:rsid w:val="0070343E"/>
    <w:rsid w:val="00707059"/>
    <w:rsid w:val="007149C5"/>
    <w:rsid w:val="00720A62"/>
    <w:rsid w:val="00725787"/>
    <w:rsid w:val="00734764"/>
    <w:rsid w:val="00742934"/>
    <w:rsid w:val="007714D5"/>
    <w:rsid w:val="00781274"/>
    <w:rsid w:val="00790F63"/>
    <w:rsid w:val="0079469C"/>
    <w:rsid w:val="00796E0E"/>
    <w:rsid w:val="007A13BF"/>
    <w:rsid w:val="007A1547"/>
    <w:rsid w:val="007C2354"/>
    <w:rsid w:val="007C382C"/>
    <w:rsid w:val="007D6521"/>
    <w:rsid w:val="007D776E"/>
    <w:rsid w:val="007E5662"/>
    <w:rsid w:val="007F0B86"/>
    <w:rsid w:val="007F34FF"/>
    <w:rsid w:val="007F36EB"/>
    <w:rsid w:val="007F44E9"/>
    <w:rsid w:val="008000B4"/>
    <w:rsid w:val="00805BF3"/>
    <w:rsid w:val="00813F31"/>
    <w:rsid w:val="00815ECA"/>
    <w:rsid w:val="0082165F"/>
    <w:rsid w:val="008225A1"/>
    <w:rsid w:val="0085054D"/>
    <w:rsid w:val="00852949"/>
    <w:rsid w:val="00861F51"/>
    <w:rsid w:val="008634DE"/>
    <w:rsid w:val="00893D14"/>
    <w:rsid w:val="008B34A8"/>
    <w:rsid w:val="008C3CC9"/>
    <w:rsid w:val="008C47C3"/>
    <w:rsid w:val="008C7306"/>
    <w:rsid w:val="008D01A2"/>
    <w:rsid w:val="008D3F6E"/>
    <w:rsid w:val="00917C72"/>
    <w:rsid w:val="00920BBA"/>
    <w:rsid w:val="00926FDD"/>
    <w:rsid w:val="00940D3D"/>
    <w:rsid w:val="009516E9"/>
    <w:rsid w:val="00955AA4"/>
    <w:rsid w:val="009566DD"/>
    <w:rsid w:val="00972352"/>
    <w:rsid w:val="0097290F"/>
    <w:rsid w:val="009733EE"/>
    <w:rsid w:val="009841A6"/>
    <w:rsid w:val="009933A0"/>
    <w:rsid w:val="009A0CCE"/>
    <w:rsid w:val="009A3593"/>
    <w:rsid w:val="009B5C0C"/>
    <w:rsid w:val="009C7A42"/>
    <w:rsid w:val="009E18F6"/>
    <w:rsid w:val="009E2629"/>
    <w:rsid w:val="009E69B1"/>
    <w:rsid w:val="009F50D5"/>
    <w:rsid w:val="00A04E01"/>
    <w:rsid w:val="00A06873"/>
    <w:rsid w:val="00A108C8"/>
    <w:rsid w:val="00A147E6"/>
    <w:rsid w:val="00A24070"/>
    <w:rsid w:val="00A26D21"/>
    <w:rsid w:val="00A33853"/>
    <w:rsid w:val="00A3475D"/>
    <w:rsid w:val="00A511DF"/>
    <w:rsid w:val="00A53233"/>
    <w:rsid w:val="00A96D30"/>
    <w:rsid w:val="00AA2244"/>
    <w:rsid w:val="00AC5ADD"/>
    <w:rsid w:val="00AD3900"/>
    <w:rsid w:val="00AE432D"/>
    <w:rsid w:val="00AF4F00"/>
    <w:rsid w:val="00AF60EF"/>
    <w:rsid w:val="00B00287"/>
    <w:rsid w:val="00B0090A"/>
    <w:rsid w:val="00B015B8"/>
    <w:rsid w:val="00B06942"/>
    <w:rsid w:val="00B17BA2"/>
    <w:rsid w:val="00B3133A"/>
    <w:rsid w:val="00B32837"/>
    <w:rsid w:val="00B42908"/>
    <w:rsid w:val="00B63DC5"/>
    <w:rsid w:val="00B64695"/>
    <w:rsid w:val="00B64F25"/>
    <w:rsid w:val="00B7270D"/>
    <w:rsid w:val="00B73CA0"/>
    <w:rsid w:val="00B82C95"/>
    <w:rsid w:val="00B92606"/>
    <w:rsid w:val="00B941FC"/>
    <w:rsid w:val="00BA4C53"/>
    <w:rsid w:val="00BA7EA4"/>
    <w:rsid w:val="00BC0264"/>
    <w:rsid w:val="00BC0C1C"/>
    <w:rsid w:val="00BC427A"/>
    <w:rsid w:val="00BD5E9C"/>
    <w:rsid w:val="00BE5DF8"/>
    <w:rsid w:val="00BF4426"/>
    <w:rsid w:val="00C15463"/>
    <w:rsid w:val="00C359F2"/>
    <w:rsid w:val="00C370EA"/>
    <w:rsid w:val="00C440FA"/>
    <w:rsid w:val="00C60267"/>
    <w:rsid w:val="00C61B96"/>
    <w:rsid w:val="00C62208"/>
    <w:rsid w:val="00C64E07"/>
    <w:rsid w:val="00C77BF8"/>
    <w:rsid w:val="00C84401"/>
    <w:rsid w:val="00C87CCB"/>
    <w:rsid w:val="00CA46C5"/>
    <w:rsid w:val="00CC1AFF"/>
    <w:rsid w:val="00CC7AED"/>
    <w:rsid w:val="00CF3BEA"/>
    <w:rsid w:val="00D12113"/>
    <w:rsid w:val="00D200E7"/>
    <w:rsid w:val="00D21454"/>
    <w:rsid w:val="00D36CED"/>
    <w:rsid w:val="00D37044"/>
    <w:rsid w:val="00D4058C"/>
    <w:rsid w:val="00D60A23"/>
    <w:rsid w:val="00D676E2"/>
    <w:rsid w:val="00D75799"/>
    <w:rsid w:val="00D85869"/>
    <w:rsid w:val="00D97A83"/>
    <w:rsid w:val="00DB14D8"/>
    <w:rsid w:val="00DD014C"/>
    <w:rsid w:val="00DF3D83"/>
    <w:rsid w:val="00DF5CDC"/>
    <w:rsid w:val="00DF6337"/>
    <w:rsid w:val="00E040F5"/>
    <w:rsid w:val="00E26DEF"/>
    <w:rsid w:val="00E342AF"/>
    <w:rsid w:val="00E373A2"/>
    <w:rsid w:val="00E804A9"/>
    <w:rsid w:val="00E8133A"/>
    <w:rsid w:val="00E849FE"/>
    <w:rsid w:val="00EA1830"/>
    <w:rsid w:val="00EB620E"/>
    <w:rsid w:val="00EC3D85"/>
    <w:rsid w:val="00EC7159"/>
    <w:rsid w:val="00EE7717"/>
    <w:rsid w:val="00EF620C"/>
    <w:rsid w:val="00F02A12"/>
    <w:rsid w:val="00F044C7"/>
    <w:rsid w:val="00F12BE2"/>
    <w:rsid w:val="00F21DDC"/>
    <w:rsid w:val="00F25911"/>
    <w:rsid w:val="00F26524"/>
    <w:rsid w:val="00F2697C"/>
    <w:rsid w:val="00F35EE9"/>
    <w:rsid w:val="00F46DF3"/>
    <w:rsid w:val="00F50D4F"/>
    <w:rsid w:val="00F75D19"/>
    <w:rsid w:val="00F77791"/>
    <w:rsid w:val="00F9386E"/>
    <w:rsid w:val="00F93E05"/>
    <w:rsid w:val="00F977F7"/>
    <w:rsid w:val="00FB1775"/>
    <w:rsid w:val="00FB3D24"/>
    <w:rsid w:val="00FC3285"/>
    <w:rsid w:val="00FD0C46"/>
    <w:rsid w:val="00FE2C3B"/>
    <w:rsid w:val="00FF43B7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83A63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4">
    <w:name w:val="註腳文字 字元"/>
    <w:basedOn w:val="a0"/>
    <w:link w:val="a3"/>
    <w:semiHidden/>
    <w:rsid w:val="00583A63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5">
    <w:name w:val="footnote reference"/>
    <w:basedOn w:val="a0"/>
    <w:semiHidden/>
    <w:rsid w:val="00583A63"/>
    <w:rPr>
      <w:vertAlign w:val="superscript"/>
    </w:rPr>
  </w:style>
  <w:style w:type="paragraph" w:styleId="a6">
    <w:name w:val="List Paragraph"/>
    <w:basedOn w:val="a"/>
    <w:uiPriority w:val="34"/>
    <w:qFormat/>
    <w:rsid w:val="00F21DD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8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2A263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7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83A63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4">
    <w:name w:val="註腳文字 字元"/>
    <w:basedOn w:val="a0"/>
    <w:link w:val="a3"/>
    <w:semiHidden/>
    <w:rsid w:val="00583A63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5">
    <w:name w:val="footnote reference"/>
    <w:basedOn w:val="a0"/>
    <w:semiHidden/>
    <w:rsid w:val="00583A63"/>
    <w:rPr>
      <w:vertAlign w:val="superscript"/>
    </w:rPr>
  </w:style>
  <w:style w:type="paragraph" w:styleId="a6">
    <w:name w:val="List Paragraph"/>
    <w:basedOn w:val="a"/>
    <w:uiPriority w:val="34"/>
    <w:qFormat/>
    <w:rsid w:val="00F21DD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8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2A263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7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cn/flfg/2005-08/29/content_27130.htm" TargetMode="External"/><Relationship Id="rId2" Type="http://schemas.openxmlformats.org/officeDocument/2006/relationships/hyperlink" Target="http://www.gov.cn/jrzg/2012-03/17/content_2093868.htm" TargetMode="External"/><Relationship Id="rId1" Type="http://schemas.openxmlformats.org/officeDocument/2006/relationships/hyperlink" Target="http://www.info.gov.hk/gia/general/201712/14/P20171214005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946-A99C-434A-8BED-C1D13A1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309</cp:revision>
  <dcterms:created xsi:type="dcterms:W3CDTF">2016-07-06T03:34:00Z</dcterms:created>
  <dcterms:modified xsi:type="dcterms:W3CDTF">2017-12-15T06:16:00Z</dcterms:modified>
</cp:coreProperties>
</file>