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853A" w14:textId="1A9E0743" w:rsidR="008721E0" w:rsidRPr="00216C1A" w:rsidRDefault="008721E0" w:rsidP="00216C1A">
      <w:pPr>
        <w:spacing w:line="400" w:lineRule="exact"/>
        <w:jc w:val="center"/>
        <w:rPr>
          <w:rFonts w:ascii="新細明體" w:hAnsi="新細明體"/>
          <w:b/>
          <w:sz w:val="28"/>
          <w:lang w:eastAsia="zh-HK"/>
        </w:rPr>
      </w:pPr>
      <w:r w:rsidRPr="00216C1A">
        <w:rPr>
          <w:rFonts w:ascii="新細明體" w:hAnsi="新細明體" w:hint="eastAsia"/>
          <w:b/>
          <w:sz w:val="28"/>
          <w:lang w:eastAsia="zh-HK"/>
        </w:rPr>
        <w:t xml:space="preserve"> </w:t>
      </w:r>
      <w:r w:rsidRPr="00216C1A">
        <w:rPr>
          <w:rFonts w:ascii="新細明體" w:hAnsi="新細明體" w:hint="eastAsia"/>
          <w:b/>
          <w:sz w:val="32"/>
          <w:lang w:eastAsia="zh-HK"/>
        </w:rPr>
        <w:t xml:space="preserve">香港老人權益聯盟 </w:t>
      </w:r>
    </w:p>
    <w:p w14:paraId="7031C5BA" w14:textId="77777777" w:rsidR="008721E0" w:rsidRPr="00216C1A" w:rsidRDefault="008721E0" w:rsidP="008721E0">
      <w:pPr>
        <w:spacing w:line="400" w:lineRule="exact"/>
        <w:jc w:val="center"/>
        <w:rPr>
          <w:rFonts w:ascii="新細明體" w:hAnsi="新細明體"/>
          <w:b/>
          <w:sz w:val="32"/>
          <w:lang w:eastAsia="zh-HK"/>
        </w:rPr>
      </w:pPr>
      <w:r w:rsidRPr="00216C1A">
        <w:rPr>
          <w:rFonts w:ascii="新細明體" w:hAnsi="新細明體" w:hint="eastAsia"/>
          <w:b/>
          <w:sz w:val="32"/>
          <w:lang w:eastAsia="zh-HK"/>
        </w:rPr>
        <w:t>就立法會衛生事務委員會討論</w:t>
      </w:r>
    </w:p>
    <w:p w14:paraId="407B7199" w14:textId="1D19A29C" w:rsidR="008721E0" w:rsidRPr="00216C1A" w:rsidRDefault="008721E0" w:rsidP="008721E0">
      <w:pPr>
        <w:spacing w:line="400" w:lineRule="exact"/>
        <w:jc w:val="center"/>
        <w:rPr>
          <w:rFonts w:ascii="新細明體" w:hAnsi="新細明體"/>
          <w:b/>
          <w:sz w:val="32"/>
          <w:lang w:eastAsia="zh-HK"/>
        </w:rPr>
      </w:pPr>
      <w:r w:rsidRPr="00216C1A">
        <w:rPr>
          <w:rFonts w:ascii="新細明體" w:hAnsi="新細明體" w:hint="eastAsia"/>
          <w:b/>
          <w:sz w:val="32"/>
          <w:lang w:eastAsia="zh-HK"/>
        </w:rPr>
        <w:t>「</w:t>
      </w:r>
      <w:r w:rsidRPr="00216C1A">
        <w:rPr>
          <w:rFonts w:ascii="新細明體" w:hAnsi="新細明體"/>
          <w:b/>
          <w:sz w:val="32"/>
          <w:lang w:eastAsia="zh-HK"/>
        </w:rPr>
        <w:t>葵青區地區康健中心試點計</w:t>
      </w:r>
      <w:r w:rsidRPr="00216C1A">
        <w:rPr>
          <w:rFonts w:ascii="新細明體" w:hAnsi="新細明體" w:hint="eastAsia"/>
          <w:b/>
          <w:sz w:val="32"/>
          <w:lang w:eastAsia="zh-HK"/>
        </w:rPr>
        <w:t>劃」</w:t>
      </w:r>
      <w:r w:rsidR="000B6AA9" w:rsidRPr="00216C1A">
        <w:rPr>
          <w:rFonts w:ascii="新細明體" w:hAnsi="新細明體" w:hint="eastAsia"/>
          <w:b/>
          <w:sz w:val="32"/>
          <w:lang w:eastAsia="zh-HK"/>
        </w:rPr>
        <w:t>的意見書</w:t>
      </w:r>
    </w:p>
    <w:p w14:paraId="5AC1CC54" w14:textId="6088B2AC" w:rsidR="008721E0" w:rsidRDefault="008721E0">
      <w:pPr>
        <w:rPr>
          <w:sz w:val="20"/>
        </w:rPr>
      </w:pPr>
    </w:p>
    <w:p w14:paraId="0C0888A3" w14:textId="1B395D24" w:rsidR="00D72F74" w:rsidRDefault="008721E0" w:rsidP="00D72F74">
      <w:pPr>
        <w:ind w:firstLine="480"/>
        <w:rPr>
          <w:szCs w:val="26"/>
          <w:lang w:eastAsia="zh-HK"/>
        </w:rPr>
      </w:pPr>
      <w:r w:rsidRPr="00155749">
        <w:rPr>
          <w:rFonts w:hint="eastAsia"/>
          <w:szCs w:val="26"/>
        </w:rPr>
        <w:t>香港老人權益聯盟</w:t>
      </w:r>
      <w:r w:rsidR="002D096C">
        <w:rPr>
          <w:rFonts w:hint="eastAsia"/>
          <w:szCs w:val="26"/>
        </w:rPr>
        <w:t xml:space="preserve"> (</w:t>
      </w:r>
      <w:r w:rsidR="002D096C">
        <w:rPr>
          <w:rFonts w:hint="eastAsia"/>
          <w:szCs w:val="26"/>
          <w:lang w:eastAsia="zh-HK"/>
        </w:rPr>
        <w:t>老權</w:t>
      </w:r>
      <w:r w:rsidR="002D096C">
        <w:rPr>
          <w:rFonts w:hint="eastAsia"/>
          <w:szCs w:val="26"/>
          <w:lang w:eastAsia="zh-HK"/>
        </w:rPr>
        <w:t>)</w:t>
      </w:r>
      <w:r w:rsidR="002D096C">
        <w:rPr>
          <w:szCs w:val="26"/>
          <w:lang w:eastAsia="zh-HK"/>
        </w:rPr>
        <w:t xml:space="preserve"> </w:t>
      </w:r>
      <w:r w:rsidRPr="00155749">
        <w:rPr>
          <w:rFonts w:hint="eastAsia"/>
          <w:szCs w:val="26"/>
        </w:rPr>
        <w:t>多年來致力推動長者權益</w:t>
      </w:r>
      <w:r>
        <w:rPr>
          <w:rFonts w:hint="eastAsia"/>
          <w:szCs w:val="26"/>
          <w:lang w:eastAsia="zh-HK"/>
        </w:rPr>
        <w:t>，</w:t>
      </w:r>
      <w:r w:rsidR="00A124B2">
        <w:rPr>
          <w:rFonts w:hint="eastAsia"/>
          <w:szCs w:val="26"/>
        </w:rPr>
        <w:t>包括</w:t>
      </w:r>
      <w:r>
        <w:rPr>
          <w:rFonts w:hint="eastAsia"/>
          <w:szCs w:val="26"/>
          <w:lang w:eastAsia="zh-HK"/>
        </w:rPr>
        <w:t>爭</w:t>
      </w:r>
      <w:r>
        <w:rPr>
          <w:rFonts w:hint="eastAsia"/>
          <w:szCs w:val="26"/>
        </w:rPr>
        <w:t>取</w:t>
      </w:r>
      <w:r>
        <w:rPr>
          <w:rFonts w:hint="eastAsia"/>
          <w:szCs w:val="26"/>
          <w:lang w:eastAsia="zh-HK"/>
        </w:rPr>
        <w:t>改</w:t>
      </w:r>
      <w:r>
        <w:rPr>
          <w:rFonts w:hint="eastAsia"/>
          <w:szCs w:val="26"/>
        </w:rPr>
        <w:t>善</w:t>
      </w:r>
      <w:r>
        <w:rPr>
          <w:rFonts w:hint="eastAsia"/>
          <w:szCs w:val="26"/>
          <w:lang w:eastAsia="zh-HK"/>
        </w:rPr>
        <w:t>長者醫療健康政策及服務</w:t>
      </w:r>
      <w:r w:rsidR="0047265A">
        <w:rPr>
          <w:rFonts w:hint="eastAsia"/>
          <w:szCs w:val="26"/>
          <w:lang w:eastAsia="zh-HK"/>
        </w:rPr>
        <w:t>。</w:t>
      </w:r>
      <w:r w:rsidR="00BA1468">
        <w:rPr>
          <w:rFonts w:hint="eastAsia"/>
          <w:szCs w:val="26"/>
          <w:lang w:eastAsia="zh-HK"/>
        </w:rPr>
        <w:t>基層長者面對「老、病、貧」困</w:t>
      </w:r>
      <w:bookmarkStart w:id="0" w:name="_GoBack"/>
      <w:bookmarkEnd w:id="0"/>
      <w:r w:rsidR="00BA1468">
        <w:rPr>
          <w:rFonts w:hint="eastAsia"/>
          <w:szCs w:val="26"/>
          <w:lang w:eastAsia="zh-HK"/>
        </w:rPr>
        <w:t>難，迫切需要基層醫療健康改革，可惜九十年代至</w:t>
      </w:r>
      <w:r w:rsidR="00A124B2">
        <w:rPr>
          <w:rFonts w:hint="eastAsia"/>
          <w:szCs w:val="26"/>
        </w:rPr>
        <w:t>今</w:t>
      </w:r>
      <w:r w:rsidR="00BA1468" w:rsidRPr="00BA1468">
        <w:rPr>
          <w:rFonts w:hint="eastAsia"/>
          <w:szCs w:val="26"/>
          <w:lang w:eastAsia="zh-HK"/>
        </w:rPr>
        <w:t>屢次</w:t>
      </w:r>
      <w:r w:rsidR="00BA1468">
        <w:rPr>
          <w:rFonts w:hint="eastAsia"/>
          <w:szCs w:val="26"/>
          <w:lang w:eastAsia="zh-HK"/>
        </w:rPr>
        <w:t>改革均是未竟全功</w:t>
      </w:r>
      <w:r w:rsidR="00D72F74">
        <w:rPr>
          <w:rFonts w:hint="eastAsia"/>
          <w:szCs w:val="26"/>
          <w:lang w:eastAsia="zh-HK"/>
        </w:rPr>
        <w:t>。</w:t>
      </w:r>
      <w:r w:rsidR="00BA1468" w:rsidRPr="00BA1468">
        <w:rPr>
          <w:rFonts w:hint="eastAsia"/>
          <w:szCs w:val="26"/>
          <w:lang w:eastAsia="zh-HK"/>
        </w:rPr>
        <w:t>本屆政府承諾大力發展基層醫療健康，並成立督導委員會規劃藍</w:t>
      </w:r>
      <w:r w:rsidR="00BA1468">
        <w:rPr>
          <w:rFonts w:hint="eastAsia"/>
          <w:szCs w:val="26"/>
          <w:lang w:eastAsia="zh-HK"/>
        </w:rPr>
        <w:t>圖，</w:t>
      </w:r>
      <w:proofErr w:type="gramStart"/>
      <w:r w:rsidR="00BA1468">
        <w:rPr>
          <w:rFonts w:hint="eastAsia"/>
          <w:szCs w:val="26"/>
          <w:lang w:eastAsia="zh-HK"/>
        </w:rPr>
        <w:t>於</w:t>
      </w:r>
      <w:r w:rsidR="00D72F74">
        <w:rPr>
          <w:rFonts w:hint="eastAsia"/>
          <w:szCs w:val="26"/>
          <w:lang w:eastAsia="zh-HK"/>
        </w:rPr>
        <w:t>葵青</w:t>
      </w:r>
      <w:proofErr w:type="gramEnd"/>
      <w:r w:rsidR="00D72F74">
        <w:rPr>
          <w:rFonts w:hint="eastAsia"/>
          <w:szCs w:val="26"/>
          <w:lang w:eastAsia="zh-HK"/>
        </w:rPr>
        <w:t>區試行地區康健中心</w:t>
      </w:r>
      <w:r w:rsidR="00D72F74">
        <w:rPr>
          <w:rFonts w:hint="eastAsia"/>
          <w:szCs w:val="26"/>
          <w:lang w:eastAsia="zh-HK"/>
        </w:rPr>
        <w:t xml:space="preserve"> (</w:t>
      </w:r>
      <w:r w:rsidR="00D72F74">
        <w:rPr>
          <w:rFonts w:hint="eastAsia"/>
          <w:szCs w:val="26"/>
          <w:lang w:eastAsia="zh-HK"/>
        </w:rPr>
        <w:t>康健中心</w:t>
      </w:r>
      <w:r w:rsidR="00D72F74">
        <w:rPr>
          <w:rFonts w:hint="eastAsia"/>
          <w:szCs w:val="26"/>
          <w:lang w:eastAsia="zh-HK"/>
        </w:rPr>
        <w:t>)</w:t>
      </w:r>
      <w:r w:rsidR="00D72F74">
        <w:rPr>
          <w:szCs w:val="26"/>
          <w:lang w:eastAsia="zh-HK"/>
        </w:rPr>
        <w:t xml:space="preserve"> </w:t>
      </w:r>
      <w:r w:rsidR="00A124B2">
        <w:rPr>
          <w:rFonts w:hint="eastAsia"/>
          <w:szCs w:val="26"/>
        </w:rPr>
        <w:t>，以期</w:t>
      </w:r>
      <w:r w:rsidR="00BA1468">
        <w:rPr>
          <w:rFonts w:hint="eastAsia"/>
          <w:szCs w:val="26"/>
          <w:lang w:eastAsia="zh-HK"/>
        </w:rPr>
        <w:t>逐步推</w:t>
      </w:r>
      <w:r w:rsidR="00A124B2">
        <w:rPr>
          <w:rFonts w:hint="eastAsia"/>
          <w:szCs w:val="26"/>
        </w:rPr>
        <w:t>展</w:t>
      </w:r>
      <w:r w:rsidR="00BA1468">
        <w:rPr>
          <w:rFonts w:hint="eastAsia"/>
          <w:szCs w:val="26"/>
          <w:lang w:eastAsia="zh-HK"/>
        </w:rPr>
        <w:t>至全港十八區</w:t>
      </w:r>
      <w:r w:rsidR="00D72F74">
        <w:rPr>
          <w:rFonts w:hint="eastAsia"/>
          <w:szCs w:val="26"/>
          <w:lang w:eastAsia="zh-HK"/>
        </w:rPr>
        <w:t>。有見及此，</w:t>
      </w:r>
      <w:r w:rsidR="00BA1468">
        <w:rPr>
          <w:rFonts w:hint="eastAsia"/>
          <w:szCs w:val="26"/>
          <w:lang w:eastAsia="zh-HK"/>
        </w:rPr>
        <w:t>基層長者於立法會</w:t>
      </w:r>
      <w:r w:rsidR="00D72F74">
        <w:rPr>
          <w:rFonts w:hint="eastAsia"/>
          <w:szCs w:val="26"/>
          <w:lang w:eastAsia="zh-HK"/>
        </w:rPr>
        <w:t>、</w:t>
      </w:r>
      <w:r w:rsidR="00BA1468">
        <w:rPr>
          <w:rFonts w:hint="eastAsia"/>
          <w:szCs w:val="26"/>
          <w:lang w:eastAsia="zh-HK"/>
        </w:rPr>
        <w:t>地區諮詢會</w:t>
      </w:r>
      <w:r w:rsidR="00D72F74">
        <w:rPr>
          <w:rFonts w:hint="eastAsia"/>
          <w:szCs w:val="26"/>
          <w:lang w:eastAsia="zh-HK"/>
        </w:rPr>
        <w:t>及政</w:t>
      </w:r>
      <w:r w:rsidR="00D72F74">
        <w:rPr>
          <w:rFonts w:hint="eastAsia"/>
          <w:szCs w:val="26"/>
        </w:rPr>
        <w:t>策</w:t>
      </w:r>
      <w:r w:rsidR="00D72F74">
        <w:rPr>
          <w:rFonts w:hint="eastAsia"/>
          <w:szCs w:val="26"/>
          <w:lang w:eastAsia="zh-HK"/>
        </w:rPr>
        <w:t>論</w:t>
      </w:r>
      <w:r w:rsidR="00D72F74">
        <w:rPr>
          <w:rFonts w:hint="eastAsia"/>
          <w:szCs w:val="26"/>
        </w:rPr>
        <w:t>壇</w:t>
      </w:r>
      <w:r w:rsidR="00D72F74">
        <w:rPr>
          <w:rFonts w:hint="eastAsia"/>
          <w:szCs w:val="26"/>
          <w:lang w:eastAsia="zh-HK"/>
        </w:rPr>
        <w:t>等多次要求試點計劃推</w:t>
      </w:r>
      <w:r w:rsidR="00A124B2">
        <w:rPr>
          <w:rFonts w:hint="eastAsia"/>
          <w:szCs w:val="26"/>
        </w:rPr>
        <w:t>行</w:t>
      </w:r>
      <w:r w:rsidR="00D72F74">
        <w:rPr>
          <w:rFonts w:hint="eastAsia"/>
          <w:szCs w:val="26"/>
          <w:lang w:eastAsia="zh-HK"/>
        </w:rPr>
        <w:t>長者全民保健，並以一邨一護士等地區網</w:t>
      </w:r>
      <w:r w:rsidR="00D72F74">
        <w:rPr>
          <w:rFonts w:hint="eastAsia"/>
          <w:szCs w:val="26"/>
        </w:rPr>
        <w:t>絡</w:t>
      </w:r>
      <w:r w:rsidR="00D72F74">
        <w:rPr>
          <w:rFonts w:hint="eastAsia"/>
          <w:szCs w:val="26"/>
          <w:lang w:eastAsia="zh-HK"/>
        </w:rPr>
        <w:t>接觸長者，同時為慢性病患長者提供一站式個案管理</w:t>
      </w:r>
      <w:r w:rsidR="00F222CD">
        <w:rPr>
          <w:rFonts w:hint="eastAsia"/>
          <w:szCs w:val="26"/>
          <w:lang w:eastAsia="zh-HK"/>
        </w:rPr>
        <w:t>，全面改善現時老無所「醫」，服</w:t>
      </w:r>
      <w:r w:rsidR="00F222CD">
        <w:rPr>
          <w:rFonts w:hint="eastAsia"/>
          <w:szCs w:val="26"/>
        </w:rPr>
        <w:t>務</w:t>
      </w:r>
      <w:r w:rsidR="00F222CD">
        <w:rPr>
          <w:rFonts w:hint="eastAsia"/>
          <w:szCs w:val="26"/>
          <w:lang w:eastAsia="zh-HK"/>
        </w:rPr>
        <w:t>輪候經年的慘況。</w:t>
      </w:r>
    </w:p>
    <w:p w14:paraId="17643AF4" w14:textId="77777777" w:rsidR="00D72F74" w:rsidRDefault="00D72F74" w:rsidP="00D72F74">
      <w:pPr>
        <w:ind w:firstLine="480"/>
        <w:rPr>
          <w:szCs w:val="26"/>
          <w:lang w:eastAsia="zh-HK"/>
        </w:rPr>
      </w:pPr>
    </w:p>
    <w:p w14:paraId="1A890FE4" w14:textId="31DD1DA5" w:rsidR="00E73C0B" w:rsidRDefault="00D72F74" w:rsidP="00E73C0B">
      <w:pPr>
        <w:ind w:firstLine="480"/>
        <w:rPr>
          <w:szCs w:val="26"/>
          <w:lang w:eastAsia="zh-HK"/>
        </w:rPr>
      </w:pPr>
      <w:r>
        <w:rPr>
          <w:rFonts w:hint="eastAsia"/>
          <w:szCs w:val="26"/>
          <w:lang w:eastAsia="zh-HK"/>
        </w:rPr>
        <w:t>食物及衛生局向</w:t>
      </w:r>
      <w:r w:rsidRPr="00D72F74">
        <w:rPr>
          <w:rFonts w:hint="eastAsia"/>
          <w:szCs w:val="26"/>
          <w:lang w:eastAsia="zh-HK"/>
        </w:rPr>
        <w:t>立法會衛生事務委員會</w:t>
      </w:r>
      <w:r>
        <w:rPr>
          <w:rFonts w:hint="eastAsia"/>
          <w:szCs w:val="26"/>
          <w:lang w:eastAsia="zh-HK"/>
        </w:rPr>
        <w:t>提交的討論文件</w:t>
      </w:r>
      <w:r w:rsidR="00E73C0B">
        <w:rPr>
          <w:rFonts w:hint="eastAsia"/>
          <w:szCs w:val="26"/>
          <w:lang w:eastAsia="zh-HK"/>
        </w:rPr>
        <w:t xml:space="preserve"> </w:t>
      </w:r>
      <w:r w:rsidR="00E73C0B">
        <w:rPr>
          <w:rFonts w:hint="eastAsia"/>
          <w:szCs w:val="26"/>
        </w:rPr>
        <w:t>(</w:t>
      </w:r>
      <w:r w:rsidR="00E73C0B">
        <w:rPr>
          <w:rFonts w:hint="eastAsia"/>
          <w:szCs w:val="26"/>
          <w:lang w:eastAsia="zh-HK"/>
        </w:rPr>
        <w:t>文件</w:t>
      </w:r>
      <w:r w:rsidR="00E73C0B">
        <w:rPr>
          <w:rFonts w:hint="eastAsia"/>
          <w:szCs w:val="26"/>
        </w:rPr>
        <w:t>)</w:t>
      </w:r>
      <w:r>
        <w:rPr>
          <w:rFonts w:hint="eastAsia"/>
          <w:szCs w:val="26"/>
          <w:lang w:eastAsia="zh-HK"/>
        </w:rPr>
        <w:t>，</w:t>
      </w:r>
      <w:r w:rsidR="00F222CD">
        <w:rPr>
          <w:rFonts w:hint="eastAsia"/>
          <w:szCs w:val="26"/>
          <w:lang w:eastAsia="zh-HK"/>
        </w:rPr>
        <w:t>簡介康健中心落實進度及考</w:t>
      </w:r>
      <w:r w:rsidR="00F222CD">
        <w:rPr>
          <w:rFonts w:hint="eastAsia"/>
          <w:szCs w:val="26"/>
        </w:rPr>
        <w:t>慮</w:t>
      </w:r>
      <w:r w:rsidR="00F222CD">
        <w:rPr>
          <w:rFonts w:hint="eastAsia"/>
          <w:szCs w:val="26"/>
          <w:lang w:eastAsia="zh-HK"/>
        </w:rPr>
        <w:t>中的服務模式，並由</w:t>
      </w:r>
      <w:r w:rsidR="00E73C0B">
        <w:rPr>
          <w:rFonts w:hint="eastAsia"/>
          <w:szCs w:val="26"/>
          <w:lang w:eastAsia="zh-HK"/>
        </w:rPr>
        <w:t>立法會</w:t>
      </w:r>
      <w:r w:rsidR="00F222CD" w:rsidRPr="00F222CD">
        <w:rPr>
          <w:rFonts w:hint="eastAsia"/>
          <w:szCs w:val="26"/>
          <w:lang w:eastAsia="zh-HK"/>
        </w:rPr>
        <w:t>衛生事務委員會</w:t>
      </w:r>
      <w:r w:rsidR="00F222CD">
        <w:rPr>
          <w:rFonts w:hint="eastAsia"/>
          <w:szCs w:val="26"/>
          <w:lang w:eastAsia="zh-HK"/>
        </w:rPr>
        <w:t>委</w:t>
      </w:r>
      <w:r w:rsidR="00F222CD">
        <w:rPr>
          <w:rFonts w:hint="eastAsia"/>
          <w:szCs w:val="26"/>
        </w:rPr>
        <w:t>員</w:t>
      </w:r>
      <w:r w:rsidR="00F222CD">
        <w:rPr>
          <w:rFonts w:hint="eastAsia"/>
          <w:szCs w:val="26"/>
          <w:lang w:eastAsia="zh-HK"/>
        </w:rPr>
        <w:t>討</w:t>
      </w:r>
      <w:r w:rsidR="00F222CD">
        <w:rPr>
          <w:rFonts w:hint="eastAsia"/>
          <w:szCs w:val="26"/>
        </w:rPr>
        <w:t>論</w:t>
      </w:r>
      <w:r w:rsidR="00F222CD">
        <w:rPr>
          <w:rFonts w:hint="eastAsia"/>
          <w:szCs w:val="26"/>
          <w:lang w:eastAsia="zh-HK"/>
        </w:rPr>
        <w:t>。就此</w:t>
      </w:r>
      <w:r w:rsidR="00E73C0B">
        <w:rPr>
          <w:rFonts w:hint="eastAsia"/>
          <w:szCs w:val="26"/>
          <w:lang w:eastAsia="zh-HK"/>
        </w:rPr>
        <w:t>，</w:t>
      </w:r>
      <w:r w:rsidR="00F222CD" w:rsidRPr="00155749">
        <w:rPr>
          <w:rFonts w:hint="eastAsia"/>
          <w:szCs w:val="26"/>
        </w:rPr>
        <w:t>香港老人權益聯盟</w:t>
      </w:r>
      <w:r w:rsidR="00F222CD">
        <w:rPr>
          <w:rFonts w:hint="eastAsia"/>
          <w:szCs w:val="26"/>
          <w:lang w:eastAsia="zh-HK"/>
        </w:rPr>
        <w:t>提出以下建議</w:t>
      </w:r>
      <w:r w:rsidR="00E73C0B">
        <w:rPr>
          <w:rFonts w:hint="eastAsia"/>
          <w:szCs w:val="26"/>
          <w:lang w:eastAsia="zh-HK"/>
        </w:rPr>
        <w:t>:</w:t>
      </w:r>
    </w:p>
    <w:p w14:paraId="45BD27AE" w14:textId="77777777" w:rsidR="00E73C0B" w:rsidRDefault="00E73C0B" w:rsidP="00E73C0B">
      <w:pPr>
        <w:rPr>
          <w:szCs w:val="26"/>
          <w:lang w:eastAsia="zh-HK"/>
        </w:rPr>
      </w:pPr>
    </w:p>
    <w:p w14:paraId="11E9755B" w14:textId="318B3BB0" w:rsidR="00F74B78" w:rsidRDefault="00E73C0B" w:rsidP="00263B7E">
      <w:pPr>
        <w:pStyle w:val="ac"/>
        <w:numPr>
          <w:ilvl w:val="0"/>
          <w:numId w:val="1"/>
        </w:numPr>
        <w:ind w:leftChars="0"/>
        <w:rPr>
          <w:szCs w:val="26"/>
          <w:lang w:eastAsia="zh-HK"/>
        </w:rPr>
      </w:pPr>
      <w:r w:rsidRPr="00263B7E">
        <w:rPr>
          <w:rFonts w:hint="eastAsia"/>
          <w:b/>
          <w:szCs w:val="26"/>
          <w:lang w:eastAsia="zh-HK"/>
        </w:rPr>
        <w:t>在收費方面</w:t>
      </w:r>
      <w:r w:rsidR="00263B7E" w:rsidRPr="00263B7E">
        <w:rPr>
          <w:rFonts w:hint="eastAsia"/>
          <w:szCs w:val="26"/>
          <w:lang w:eastAsia="zh-HK"/>
        </w:rPr>
        <w:t>，</w:t>
      </w:r>
      <w:r w:rsidRPr="00263B7E">
        <w:rPr>
          <w:rFonts w:hint="eastAsia"/>
          <w:szCs w:val="26"/>
          <w:lang w:eastAsia="zh-HK"/>
        </w:rPr>
        <w:t>文件</w:t>
      </w:r>
      <w:r w:rsidRPr="00263B7E">
        <w:rPr>
          <w:rFonts w:hint="eastAsia"/>
          <w:szCs w:val="26"/>
        </w:rPr>
        <w:t>3</w:t>
      </w:r>
      <w:r w:rsidRPr="00263B7E">
        <w:rPr>
          <w:rFonts w:hint="eastAsia"/>
          <w:szCs w:val="26"/>
          <w:lang w:eastAsia="zh-HK"/>
        </w:rPr>
        <w:t>7</w:t>
      </w:r>
      <w:r w:rsidRPr="00263B7E">
        <w:rPr>
          <w:rFonts w:hint="eastAsia"/>
          <w:szCs w:val="26"/>
          <w:lang w:eastAsia="zh-HK"/>
        </w:rPr>
        <w:t>段提及將就核准的醫療服務提供劃一資助，醫</w:t>
      </w:r>
      <w:r w:rsidRPr="00263B7E">
        <w:rPr>
          <w:rFonts w:hint="eastAsia"/>
          <w:szCs w:val="26"/>
        </w:rPr>
        <w:t>生</w:t>
      </w:r>
      <w:r w:rsidR="00F74B78" w:rsidRPr="00263B7E">
        <w:rPr>
          <w:rFonts w:hint="eastAsia"/>
          <w:szCs w:val="26"/>
          <w:lang w:eastAsia="zh-HK"/>
        </w:rPr>
        <w:t>將</w:t>
      </w:r>
      <w:r w:rsidRPr="00263B7E">
        <w:rPr>
          <w:rFonts w:hint="eastAsia"/>
          <w:szCs w:val="26"/>
          <w:lang w:eastAsia="zh-HK"/>
        </w:rPr>
        <w:t>可額外</w:t>
      </w:r>
      <w:r w:rsidR="00F74B78" w:rsidRPr="00263B7E">
        <w:rPr>
          <w:rFonts w:hint="eastAsia"/>
          <w:szCs w:val="26"/>
          <w:lang w:eastAsia="zh-HK"/>
        </w:rPr>
        <w:t>向病人</w:t>
      </w:r>
      <w:r w:rsidRPr="00263B7E">
        <w:rPr>
          <w:rFonts w:hint="eastAsia"/>
          <w:szCs w:val="26"/>
          <w:lang w:eastAsia="zh-HK"/>
        </w:rPr>
        <w:t>收費</w:t>
      </w:r>
      <w:r w:rsidR="00F74B78" w:rsidRPr="00263B7E">
        <w:rPr>
          <w:rFonts w:hint="eastAsia"/>
          <w:szCs w:val="26"/>
          <w:lang w:eastAsia="zh-HK"/>
        </w:rPr>
        <w:t>。基層長者捉襟見肘，為免影響長者對尋</w:t>
      </w:r>
      <w:r w:rsidR="00F74B78" w:rsidRPr="00263B7E">
        <w:rPr>
          <w:rFonts w:hint="eastAsia"/>
          <w:szCs w:val="26"/>
        </w:rPr>
        <w:t>求</w:t>
      </w:r>
      <w:r w:rsidR="00F74B78" w:rsidRPr="00263B7E">
        <w:rPr>
          <w:rFonts w:hint="eastAsia"/>
          <w:szCs w:val="26"/>
          <w:lang w:eastAsia="zh-HK"/>
        </w:rPr>
        <w:t>基層醫療健康服務的意欲，</w:t>
      </w:r>
      <w:r w:rsidR="002D096C">
        <w:rPr>
          <w:rFonts w:hint="eastAsia"/>
          <w:szCs w:val="26"/>
          <w:lang w:eastAsia="zh-HK"/>
        </w:rPr>
        <w:t>老權</w:t>
      </w:r>
      <w:r w:rsidR="00F74B78" w:rsidRPr="00263B7E">
        <w:rPr>
          <w:rFonts w:hint="eastAsia"/>
          <w:szCs w:val="26"/>
          <w:lang w:eastAsia="zh-HK"/>
        </w:rPr>
        <w:t>促請政府在釐定資助額時</w:t>
      </w:r>
      <w:r w:rsidR="00A07BA7" w:rsidRPr="00263B7E">
        <w:rPr>
          <w:rFonts w:hint="eastAsia"/>
          <w:szCs w:val="26"/>
          <w:lang w:eastAsia="zh-HK"/>
        </w:rPr>
        <w:t>，確保一定比例的醫</w:t>
      </w:r>
      <w:r w:rsidR="00A07BA7" w:rsidRPr="00263B7E">
        <w:rPr>
          <w:rFonts w:hint="eastAsia"/>
          <w:szCs w:val="26"/>
        </w:rPr>
        <w:t>療</w:t>
      </w:r>
      <w:r w:rsidR="00A07BA7" w:rsidRPr="00263B7E">
        <w:rPr>
          <w:rFonts w:hint="eastAsia"/>
          <w:szCs w:val="26"/>
          <w:lang w:eastAsia="zh-HK"/>
        </w:rPr>
        <w:t>服</w:t>
      </w:r>
      <w:r w:rsidR="00A07BA7" w:rsidRPr="00263B7E">
        <w:rPr>
          <w:rFonts w:hint="eastAsia"/>
          <w:szCs w:val="26"/>
        </w:rPr>
        <w:t>務</w:t>
      </w:r>
      <w:r w:rsidR="00A07BA7" w:rsidRPr="00263B7E">
        <w:rPr>
          <w:rFonts w:hint="eastAsia"/>
          <w:szCs w:val="26"/>
          <w:lang w:eastAsia="zh-HK"/>
        </w:rPr>
        <w:t>不需額外收費</w:t>
      </w:r>
      <w:r w:rsidR="00263B7E" w:rsidRPr="00263B7E">
        <w:rPr>
          <w:rFonts w:hint="eastAsia"/>
          <w:szCs w:val="26"/>
          <w:lang w:eastAsia="zh-HK"/>
        </w:rPr>
        <w:t>。</w:t>
      </w:r>
      <w:r w:rsidR="00125D65" w:rsidRPr="00263B7E">
        <w:rPr>
          <w:rFonts w:hint="eastAsia"/>
          <w:szCs w:val="26"/>
          <w:lang w:eastAsia="zh-HK"/>
        </w:rPr>
        <w:t>至於康健中心內的服務收費</w:t>
      </w:r>
      <w:r w:rsidR="00125D65" w:rsidRPr="00263B7E">
        <w:rPr>
          <w:rFonts w:hint="eastAsia"/>
          <w:szCs w:val="26"/>
          <w:lang w:eastAsia="zh-HK"/>
        </w:rPr>
        <w:t xml:space="preserve"> (</w:t>
      </w:r>
      <w:r w:rsidR="00125D65" w:rsidRPr="00263B7E">
        <w:rPr>
          <w:rFonts w:hint="eastAsia"/>
          <w:szCs w:val="26"/>
          <w:lang w:eastAsia="zh-HK"/>
        </w:rPr>
        <w:t>如物理治療服務，職業治療服務</w:t>
      </w:r>
      <w:r w:rsidR="00125D65" w:rsidRPr="00263B7E">
        <w:rPr>
          <w:rFonts w:hint="eastAsia"/>
          <w:szCs w:val="26"/>
          <w:lang w:eastAsia="zh-HK"/>
        </w:rPr>
        <w:t>)</w:t>
      </w:r>
      <w:r w:rsidR="00125D65" w:rsidRPr="00263B7E">
        <w:rPr>
          <w:rFonts w:hint="eastAsia"/>
          <w:szCs w:val="26"/>
          <w:lang w:eastAsia="zh-HK"/>
        </w:rPr>
        <w:t>，文件</w:t>
      </w:r>
      <w:r w:rsidR="00125D65" w:rsidRPr="00263B7E">
        <w:rPr>
          <w:rFonts w:hint="eastAsia"/>
          <w:szCs w:val="26"/>
          <w:lang w:eastAsia="zh-HK"/>
        </w:rPr>
        <w:t>39</w:t>
      </w:r>
      <w:r w:rsidR="00125D65" w:rsidRPr="00263B7E">
        <w:rPr>
          <w:rFonts w:hint="eastAsia"/>
          <w:szCs w:val="26"/>
          <w:lang w:eastAsia="zh-HK"/>
        </w:rPr>
        <w:t>段提及綜援及</w:t>
      </w:r>
      <w:r w:rsidR="00125D65" w:rsidRPr="00263B7E">
        <w:rPr>
          <w:rFonts w:hint="eastAsia"/>
          <w:szCs w:val="26"/>
          <w:lang w:eastAsia="zh-HK"/>
        </w:rPr>
        <w:t>75</w:t>
      </w:r>
      <w:r w:rsidR="00125D65" w:rsidRPr="00263B7E">
        <w:rPr>
          <w:rFonts w:hint="eastAsia"/>
          <w:szCs w:val="26"/>
          <w:lang w:eastAsia="zh-HK"/>
        </w:rPr>
        <w:t>歲以上高額長者生活津貼受惠人將</w:t>
      </w:r>
      <w:r w:rsidR="00263B7E" w:rsidRPr="00263B7E">
        <w:rPr>
          <w:rFonts w:hint="eastAsia"/>
          <w:szCs w:val="26"/>
          <w:lang w:eastAsia="zh-HK"/>
        </w:rPr>
        <w:t>豁免收費</w:t>
      </w:r>
      <w:r w:rsidR="005113C5">
        <w:rPr>
          <w:rFonts w:hint="eastAsia"/>
          <w:szCs w:val="26"/>
          <w:lang w:eastAsia="zh-HK"/>
        </w:rPr>
        <w:t>;</w:t>
      </w:r>
      <w:r w:rsidR="005113C5">
        <w:rPr>
          <w:szCs w:val="26"/>
          <w:lang w:eastAsia="zh-HK"/>
        </w:rPr>
        <w:t xml:space="preserve"> </w:t>
      </w:r>
      <w:r w:rsidR="002D096C" w:rsidRPr="00216C1A">
        <w:rPr>
          <w:rFonts w:hint="eastAsia"/>
          <w:b/>
          <w:szCs w:val="26"/>
          <w:lang w:eastAsia="zh-HK"/>
        </w:rPr>
        <w:t>老權</w:t>
      </w:r>
      <w:r w:rsidR="00263B7E" w:rsidRPr="00EE7989">
        <w:rPr>
          <w:rFonts w:hint="eastAsia"/>
          <w:b/>
          <w:szCs w:val="26"/>
          <w:lang w:eastAsia="zh-HK"/>
        </w:rPr>
        <w:t>促請</w:t>
      </w:r>
      <w:r w:rsidR="00F35047" w:rsidRPr="00EE7989">
        <w:rPr>
          <w:rFonts w:hint="eastAsia"/>
          <w:b/>
          <w:szCs w:val="26"/>
          <w:lang w:eastAsia="zh-HK"/>
        </w:rPr>
        <w:t>將豁免</w:t>
      </w:r>
      <w:r w:rsidR="00263B7E" w:rsidRPr="00EE7989">
        <w:rPr>
          <w:rFonts w:hint="eastAsia"/>
          <w:b/>
          <w:szCs w:val="26"/>
          <w:lang w:eastAsia="zh-HK"/>
        </w:rPr>
        <w:t>費用的年齡限制由</w:t>
      </w:r>
      <w:r w:rsidR="00263B7E" w:rsidRPr="00EE7989">
        <w:rPr>
          <w:rFonts w:hint="eastAsia"/>
          <w:b/>
          <w:szCs w:val="26"/>
          <w:lang w:eastAsia="zh-HK"/>
        </w:rPr>
        <w:t>75</w:t>
      </w:r>
      <w:r w:rsidR="00263B7E" w:rsidRPr="00EE7989">
        <w:rPr>
          <w:rFonts w:hint="eastAsia"/>
          <w:b/>
          <w:szCs w:val="26"/>
          <w:lang w:eastAsia="zh-HK"/>
        </w:rPr>
        <w:t>下降至</w:t>
      </w:r>
      <w:r w:rsidR="00263B7E" w:rsidRPr="00EE7989">
        <w:rPr>
          <w:rFonts w:hint="eastAsia"/>
          <w:b/>
          <w:szCs w:val="26"/>
          <w:lang w:eastAsia="zh-HK"/>
        </w:rPr>
        <w:t>65</w:t>
      </w:r>
      <w:r w:rsidR="00263B7E" w:rsidRPr="00EE7989">
        <w:rPr>
          <w:rFonts w:hint="eastAsia"/>
          <w:b/>
          <w:szCs w:val="26"/>
          <w:lang w:eastAsia="zh-HK"/>
        </w:rPr>
        <w:t>歲，並放寬至正領取普通長者生活津貼的長者及「在職家庭津貼」的受助家庭</w:t>
      </w:r>
      <w:r w:rsidR="00263B7E">
        <w:rPr>
          <w:rFonts w:hint="eastAsia"/>
          <w:szCs w:val="26"/>
          <w:lang w:eastAsia="zh-HK"/>
        </w:rPr>
        <w:t>，鼓勵剛退</w:t>
      </w:r>
      <w:r w:rsidR="00263B7E">
        <w:rPr>
          <w:rFonts w:hint="eastAsia"/>
          <w:szCs w:val="26"/>
        </w:rPr>
        <w:t>休</w:t>
      </w:r>
      <w:r w:rsidR="00263B7E">
        <w:rPr>
          <w:rFonts w:hint="eastAsia"/>
          <w:szCs w:val="26"/>
          <w:lang w:eastAsia="zh-HK"/>
        </w:rPr>
        <w:t>或仍在職的長者及早關注健康。</w:t>
      </w:r>
      <w:r w:rsidR="00F35047">
        <w:rPr>
          <w:szCs w:val="26"/>
          <w:lang w:eastAsia="zh-HK"/>
        </w:rPr>
        <w:br/>
      </w:r>
    </w:p>
    <w:p w14:paraId="72F0876E" w14:textId="36FF02E1" w:rsidR="00F35047" w:rsidRPr="005113C5" w:rsidRDefault="00F35047" w:rsidP="001F2E78">
      <w:pPr>
        <w:pStyle w:val="ac"/>
        <w:numPr>
          <w:ilvl w:val="0"/>
          <w:numId w:val="1"/>
        </w:numPr>
        <w:ind w:leftChars="0"/>
        <w:rPr>
          <w:szCs w:val="26"/>
          <w:lang w:eastAsia="zh-HK"/>
        </w:rPr>
      </w:pPr>
      <w:r w:rsidRPr="00F35047">
        <w:rPr>
          <w:rFonts w:hint="eastAsia"/>
          <w:b/>
          <w:szCs w:val="26"/>
          <w:lang w:eastAsia="zh-HK"/>
        </w:rPr>
        <w:t>在推廣方面</w:t>
      </w:r>
      <w:r>
        <w:rPr>
          <w:rFonts w:hint="eastAsia"/>
          <w:szCs w:val="26"/>
          <w:lang w:eastAsia="zh-HK"/>
        </w:rPr>
        <w:t>，基層醫療健康須</w:t>
      </w:r>
      <w:r w:rsidR="008C7D75">
        <w:rPr>
          <w:rFonts w:hint="eastAsia"/>
          <w:szCs w:val="26"/>
          <w:lang w:eastAsia="zh-HK"/>
        </w:rPr>
        <w:t>推廣及</w:t>
      </w:r>
      <w:r>
        <w:rPr>
          <w:rFonts w:hint="eastAsia"/>
          <w:szCs w:val="26"/>
          <w:lang w:eastAsia="zh-HK"/>
        </w:rPr>
        <w:t>覆蓋</w:t>
      </w:r>
      <w:r w:rsidR="008C7D75">
        <w:rPr>
          <w:rFonts w:hint="eastAsia"/>
          <w:szCs w:val="26"/>
          <w:lang w:eastAsia="zh-HK"/>
        </w:rPr>
        <w:t>整個社區，方能達致全民健康，惟過去</w:t>
      </w:r>
      <w:r w:rsidR="008C7D75" w:rsidRPr="008C7D75">
        <w:rPr>
          <w:rFonts w:hint="eastAsia"/>
          <w:szCs w:val="26"/>
          <w:lang w:eastAsia="zh-HK"/>
        </w:rPr>
        <w:t>大腸癌篩查先導計劃</w:t>
      </w:r>
      <w:r w:rsidR="008C7D75">
        <w:rPr>
          <w:rFonts w:hint="eastAsia"/>
          <w:szCs w:val="26"/>
          <w:lang w:eastAsia="zh-HK"/>
        </w:rPr>
        <w:t>、長者疫苗資助計劃、以至葵青區議會近年的</w:t>
      </w:r>
      <w:r w:rsidR="008C7D75" w:rsidRPr="00155749">
        <w:rPr>
          <w:rFonts w:hint="eastAsia"/>
          <w:szCs w:val="26"/>
          <w:lang w:eastAsia="zh-HK"/>
        </w:rPr>
        <w:t>基層醫療</w:t>
      </w:r>
      <w:r w:rsidR="008C7D75">
        <w:rPr>
          <w:rFonts w:hint="eastAsia"/>
          <w:szCs w:val="26"/>
          <w:lang w:eastAsia="zh-HK"/>
        </w:rPr>
        <w:t>服務等等，參與率均</w:t>
      </w:r>
      <w:r w:rsidR="008C7D75" w:rsidRPr="00155749">
        <w:rPr>
          <w:rFonts w:hint="eastAsia"/>
          <w:szCs w:val="26"/>
          <w:lang w:eastAsia="zh-HK"/>
        </w:rPr>
        <w:t>嚴重不達標</w:t>
      </w:r>
      <w:r w:rsidR="008C7D75">
        <w:rPr>
          <w:rFonts w:hint="eastAsia"/>
          <w:szCs w:val="26"/>
          <w:lang w:eastAsia="zh-HK"/>
        </w:rPr>
        <w:t>。文件</w:t>
      </w:r>
      <w:r w:rsidR="008C7D75">
        <w:rPr>
          <w:rFonts w:hint="eastAsia"/>
          <w:szCs w:val="26"/>
          <w:lang w:eastAsia="zh-HK"/>
        </w:rPr>
        <w:t>18,</w:t>
      </w:r>
      <w:r w:rsidR="008C7D75">
        <w:rPr>
          <w:szCs w:val="26"/>
          <w:lang w:eastAsia="zh-HK"/>
        </w:rPr>
        <w:t xml:space="preserve"> </w:t>
      </w:r>
      <w:r w:rsidR="008C7D75">
        <w:rPr>
          <w:rFonts w:hint="eastAsia"/>
          <w:szCs w:val="26"/>
          <w:lang w:eastAsia="zh-HK"/>
        </w:rPr>
        <w:t>24</w:t>
      </w:r>
      <w:r w:rsidR="008C7D75">
        <w:rPr>
          <w:rFonts w:hint="eastAsia"/>
          <w:szCs w:val="26"/>
          <w:lang w:eastAsia="zh-HK"/>
        </w:rPr>
        <w:t>及</w:t>
      </w:r>
      <w:r w:rsidR="008C7D75">
        <w:rPr>
          <w:rFonts w:hint="eastAsia"/>
          <w:szCs w:val="26"/>
          <w:lang w:eastAsia="zh-HK"/>
        </w:rPr>
        <w:t>26</w:t>
      </w:r>
      <w:r w:rsidR="008C7D75">
        <w:rPr>
          <w:rFonts w:hint="eastAsia"/>
          <w:szCs w:val="26"/>
          <w:lang w:eastAsia="zh-HK"/>
        </w:rPr>
        <w:t>段提及</w:t>
      </w:r>
      <w:r w:rsidR="001F2E78">
        <w:rPr>
          <w:rFonts w:hint="eastAsia"/>
          <w:szCs w:val="26"/>
          <w:lang w:eastAsia="zh-HK"/>
        </w:rPr>
        <w:t>，康健中心</w:t>
      </w:r>
      <w:r w:rsidR="008C7D75">
        <w:rPr>
          <w:rFonts w:hint="eastAsia"/>
          <w:szCs w:val="26"/>
          <w:lang w:eastAsia="zh-HK"/>
        </w:rPr>
        <w:t>將與社區內的非政府機構合作，</w:t>
      </w:r>
      <w:r w:rsidR="001F2E78">
        <w:rPr>
          <w:rFonts w:hint="eastAsia"/>
          <w:szCs w:val="26"/>
          <w:lang w:eastAsia="zh-HK"/>
        </w:rPr>
        <w:t>同時</w:t>
      </w:r>
      <w:r w:rsidR="008C7D75">
        <w:rPr>
          <w:rFonts w:hint="eastAsia"/>
          <w:szCs w:val="26"/>
          <w:lang w:eastAsia="zh-HK"/>
        </w:rPr>
        <w:t>以外展活動、實體中心及互聯網加強接觸</w:t>
      </w:r>
      <w:r w:rsidR="001F2E78">
        <w:rPr>
          <w:rFonts w:hint="eastAsia"/>
          <w:szCs w:val="26"/>
          <w:lang w:eastAsia="zh-HK"/>
        </w:rPr>
        <w:t>社區</w:t>
      </w:r>
      <w:r w:rsidR="007B6690">
        <w:rPr>
          <w:rFonts w:hint="eastAsia"/>
          <w:szCs w:val="26"/>
          <w:lang w:eastAsia="zh-HK"/>
        </w:rPr>
        <w:t>;</w:t>
      </w:r>
      <w:r w:rsidR="007B6690">
        <w:rPr>
          <w:szCs w:val="26"/>
          <w:lang w:eastAsia="zh-HK"/>
        </w:rPr>
        <w:t xml:space="preserve"> </w:t>
      </w:r>
      <w:r w:rsidR="002D096C" w:rsidRPr="00216C1A">
        <w:rPr>
          <w:rFonts w:hint="eastAsia"/>
          <w:b/>
          <w:szCs w:val="26"/>
          <w:lang w:eastAsia="zh-HK"/>
        </w:rPr>
        <w:t>老權</w:t>
      </w:r>
      <w:r w:rsidR="001F2E78" w:rsidRPr="00EE7989">
        <w:rPr>
          <w:rFonts w:hint="eastAsia"/>
          <w:b/>
          <w:szCs w:val="26"/>
          <w:lang w:eastAsia="zh-HK"/>
        </w:rPr>
        <w:t>促請康健中心善用</w:t>
      </w:r>
      <w:r w:rsidR="001F2E78" w:rsidRPr="00EE7989">
        <w:rPr>
          <w:rFonts w:asciiTheme="minorEastAsia" w:hAnsiTheme="minorEastAsia" w:hint="eastAsia"/>
          <w:b/>
          <w:lang w:eastAsia="zh-HK"/>
        </w:rPr>
        <w:t>現時逾200間長者地區及鄰舍中心網絡，提供人手及技術支援，例如於長者中心派駐醫</w:t>
      </w:r>
      <w:r w:rsidR="001F2E78" w:rsidRPr="00EE7989">
        <w:rPr>
          <w:rFonts w:asciiTheme="minorEastAsia" w:hAnsiTheme="minorEastAsia" w:hint="eastAsia"/>
          <w:b/>
        </w:rPr>
        <w:t>療</w:t>
      </w:r>
      <w:r w:rsidR="001F2E78" w:rsidRPr="00EE7989">
        <w:rPr>
          <w:rFonts w:asciiTheme="minorEastAsia" w:hAnsiTheme="minorEastAsia" w:hint="eastAsia"/>
          <w:b/>
          <w:lang w:eastAsia="zh-HK"/>
        </w:rPr>
        <w:t>人員</w:t>
      </w:r>
      <w:r w:rsidR="001F2E78">
        <w:rPr>
          <w:rFonts w:asciiTheme="minorEastAsia" w:hAnsiTheme="minorEastAsia" w:hint="eastAsia"/>
          <w:lang w:eastAsia="zh-HK"/>
        </w:rPr>
        <w:t>，</w:t>
      </w:r>
      <w:r w:rsidR="007B6690">
        <w:rPr>
          <w:rFonts w:asciiTheme="minorEastAsia" w:hAnsiTheme="minorEastAsia" w:hint="eastAsia"/>
          <w:lang w:eastAsia="zh-HK"/>
        </w:rPr>
        <w:t>提</w:t>
      </w:r>
      <w:r w:rsidR="007B6690">
        <w:rPr>
          <w:rFonts w:asciiTheme="minorEastAsia" w:hAnsiTheme="minorEastAsia" w:hint="eastAsia"/>
        </w:rPr>
        <w:t>供</w:t>
      </w:r>
      <w:r w:rsidR="007B6690">
        <w:rPr>
          <w:rFonts w:asciiTheme="minorEastAsia" w:hAnsiTheme="minorEastAsia" w:hint="eastAsia"/>
          <w:lang w:eastAsia="zh-HK"/>
        </w:rPr>
        <w:t>培訓協</w:t>
      </w:r>
      <w:r w:rsidR="007B6690">
        <w:rPr>
          <w:rFonts w:asciiTheme="minorEastAsia" w:hAnsiTheme="minorEastAsia" w:hint="eastAsia"/>
        </w:rPr>
        <w:t>助</w:t>
      </w:r>
      <w:r w:rsidR="001F2E78">
        <w:rPr>
          <w:rFonts w:asciiTheme="minorEastAsia" w:hAnsiTheme="minorEastAsia" w:hint="eastAsia"/>
          <w:lang w:eastAsia="zh-HK"/>
        </w:rPr>
        <w:t>轉介</w:t>
      </w:r>
      <w:r w:rsidR="007B6690">
        <w:rPr>
          <w:rFonts w:asciiTheme="minorEastAsia" w:hAnsiTheme="minorEastAsia" w:hint="eastAsia"/>
          <w:lang w:eastAsia="zh-HK"/>
        </w:rPr>
        <w:t>長者</w:t>
      </w:r>
      <w:r w:rsidR="001F2E78">
        <w:rPr>
          <w:rFonts w:asciiTheme="minorEastAsia" w:hAnsiTheme="minorEastAsia" w:hint="eastAsia"/>
          <w:lang w:eastAsia="zh-HK"/>
        </w:rPr>
        <w:t>接受健康評估</w:t>
      </w:r>
      <w:r w:rsidR="007B6690">
        <w:rPr>
          <w:rFonts w:asciiTheme="minorEastAsia" w:hAnsiTheme="minorEastAsia" w:hint="eastAsia"/>
          <w:lang w:eastAsia="zh-HK"/>
        </w:rPr>
        <w:t>等，並進一步與醫管局普通</w:t>
      </w:r>
      <w:r w:rsidR="00A124B2">
        <w:rPr>
          <w:rFonts w:asciiTheme="minorEastAsia" w:hAnsiTheme="minorEastAsia" w:hint="eastAsia"/>
        </w:rPr>
        <w:t>科</w:t>
      </w:r>
      <w:r w:rsidR="007B6690">
        <w:rPr>
          <w:rFonts w:asciiTheme="minorEastAsia" w:hAnsiTheme="minorEastAsia" w:hint="eastAsia"/>
          <w:lang w:eastAsia="zh-HK"/>
        </w:rPr>
        <w:t>門診等基層醫</w:t>
      </w:r>
      <w:r w:rsidR="007B6690">
        <w:rPr>
          <w:rFonts w:asciiTheme="minorEastAsia" w:hAnsiTheme="minorEastAsia" w:hint="eastAsia"/>
        </w:rPr>
        <w:t>療</w:t>
      </w:r>
      <w:r w:rsidR="00A124B2">
        <w:rPr>
          <w:rFonts w:asciiTheme="minorEastAsia" w:hAnsiTheme="minorEastAsia" w:hint="eastAsia"/>
        </w:rPr>
        <w:t>服務</w:t>
      </w:r>
      <w:r w:rsidR="007B6690">
        <w:rPr>
          <w:rFonts w:asciiTheme="minorEastAsia" w:hAnsiTheme="minorEastAsia" w:hint="eastAsia"/>
          <w:lang w:eastAsia="zh-HK"/>
        </w:rPr>
        <w:t>提</w:t>
      </w:r>
      <w:r w:rsidR="007B6690">
        <w:rPr>
          <w:rFonts w:asciiTheme="minorEastAsia" w:hAnsiTheme="minorEastAsia" w:hint="eastAsia"/>
        </w:rPr>
        <w:t>供</w:t>
      </w:r>
      <w:r w:rsidR="007B6690">
        <w:rPr>
          <w:rFonts w:asciiTheme="minorEastAsia" w:hAnsiTheme="minorEastAsia" w:hint="eastAsia"/>
          <w:lang w:eastAsia="zh-HK"/>
        </w:rPr>
        <w:t>者合作，加強地</w:t>
      </w:r>
      <w:r w:rsidR="007B6690">
        <w:rPr>
          <w:rFonts w:asciiTheme="minorEastAsia" w:hAnsiTheme="minorEastAsia" w:hint="eastAsia"/>
        </w:rPr>
        <w:t>區</w:t>
      </w:r>
      <w:r w:rsidR="007B6690">
        <w:rPr>
          <w:rFonts w:asciiTheme="minorEastAsia" w:hAnsiTheme="minorEastAsia" w:hint="eastAsia"/>
          <w:lang w:eastAsia="zh-HK"/>
        </w:rPr>
        <w:t>網絡。</w:t>
      </w:r>
      <w:r w:rsidR="005113C5">
        <w:rPr>
          <w:rFonts w:asciiTheme="minorEastAsia" w:hAnsiTheme="minorEastAsia"/>
          <w:lang w:eastAsia="zh-HK"/>
        </w:rPr>
        <w:br/>
      </w:r>
    </w:p>
    <w:p w14:paraId="2FA629BA" w14:textId="02B6E561" w:rsidR="005113C5" w:rsidRPr="0086511A" w:rsidRDefault="005113C5" w:rsidP="001F2E78">
      <w:pPr>
        <w:pStyle w:val="ac"/>
        <w:numPr>
          <w:ilvl w:val="0"/>
          <w:numId w:val="1"/>
        </w:numPr>
        <w:ind w:leftChars="0"/>
        <w:rPr>
          <w:b/>
          <w:szCs w:val="26"/>
          <w:lang w:eastAsia="zh-HK"/>
        </w:rPr>
      </w:pPr>
      <w:r w:rsidRPr="005B68D1">
        <w:rPr>
          <w:rFonts w:hint="eastAsia"/>
          <w:b/>
          <w:szCs w:val="26"/>
          <w:lang w:eastAsia="zh-HK"/>
        </w:rPr>
        <w:t>在健康服務方面，</w:t>
      </w:r>
      <w:r w:rsidR="005B68D1">
        <w:rPr>
          <w:rFonts w:hint="eastAsia"/>
          <w:szCs w:val="26"/>
          <w:lang w:eastAsia="zh-HK"/>
        </w:rPr>
        <w:t>文件</w:t>
      </w:r>
      <w:r w:rsidR="005B68D1">
        <w:rPr>
          <w:rFonts w:hint="eastAsia"/>
          <w:szCs w:val="26"/>
          <w:lang w:eastAsia="zh-HK"/>
        </w:rPr>
        <w:t>11</w:t>
      </w:r>
      <w:r w:rsidR="005B68D1">
        <w:rPr>
          <w:rFonts w:hint="eastAsia"/>
          <w:szCs w:val="26"/>
          <w:lang w:eastAsia="zh-HK"/>
        </w:rPr>
        <w:t>及</w:t>
      </w:r>
      <w:r w:rsidR="005B68D1">
        <w:rPr>
          <w:rFonts w:hint="eastAsia"/>
          <w:szCs w:val="26"/>
        </w:rPr>
        <w:t>2</w:t>
      </w:r>
      <w:r w:rsidR="005B68D1">
        <w:rPr>
          <w:rFonts w:hint="eastAsia"/>
          <w:szCs w:val="26"/>
          <w:lang w:eastAsia="zh-HK"/>
        </w:rPr>
        <w:t>9</w:t>
      </w:r>
      <w:r w:rsidR="005B68D1">
        <w:rPr>
          <w:rFonts w:hint="eastAsia"/>
          <w:szCs w:val="26"/>
          <w:lang w:eastAsia="zh-HK"/>
        </w:rPr>
        <w:t>段提及康健中心</w:t>
      </w:r>
      <w:r w:rsidR="005B68D1">
        <w:rPr>
          <w:rFonts w:hint="eastAsia"/>
          <w:szCs w:val="26"/>
          <w:lang w:eastAsia="zh-HK"/>
        </w:rPr>
        <w:t>5</w:t>
      </w:r>
      <w:r w:rsidR="005B68D1">
        <w:rPr>
          <w:rFonts w:hint="eastAsia"/>
          <w:szCs w:val="26"/>
          <w:lang w:eastAsia="zh-HK"/>
        </w:rPr>
        <w:t>項優先處理的慢性病及健康風險因素，並將提供</w:t>
      </w:r>
      <w:r w:rsidR="001A5C01">
        <w:rPr>
          <w:rFonts w:hint="eastAsia"/>
          <w:szCs w:val="26"/>
          <w:lang w:eastAsia="zh-HK"/>
        </w:rPr>
        <w:t>相</w:t>
      </w:r>
      <w:r w:rsidR="001A5C01">
        <w:rPr>
          <w:rFonts w:hint="eastAsia"/>
          <w:szCs w:val="26"/>
        </w:rPr>
        <w:t>關</w:t>
      </w:r>
      <w:r w:rsidR="005B68D1">
        <w:rPr>
          <w:rFonts w:hint="eastAsia"/>
          <w:szCs w:val="26"/>
          <w:lang w:eastAsia="zh-HK"/>
        </w:rPr>
        <w:t>健康評估服務</w:t>
      </w:r>
      <w:r w:rsidR="008D416E">
        <w:rPr>
          <w:rFonts w:hint="eastAsia"/>
          <w:szCs w:val="26"/>
          <w:lang w:eastAsia="zh-HK"/>
        </w:rPr>
        <w:t>，惟眼科及牙</w:t>
      </w:r>
      <w:r w:rsidR="008D416E">
        <w:rPr>
          <w:rFonts w:hint="eastAsia"/>
          <w:szCs w:val="26"/>
        </w:rPr>
        <w:t>科</w:t>
      </w:r>
      <w:r w:rsidR="008D416E">
        <w:rPr>
          <w:rFonts w:hint="eastAsia"/>
          <w:szCs w:val="26"/>
          <w:lang w:eastAsia="zh-HK"/>
        </w:rPr>
        <w:t>檢</w:t>
      </w:r>
      <w:r w:rsidR="008D416E">
        <w:rPr>
          <w:rFonts w:hint="eastAsia"/>
          <w:szCs w:val="26"/>
        </w:rPr>
        <w:t>查</w:t>
      </w:r>
      <w:r w:rsidR="008D416E">
        <w:rPr>
          <w:rFonts w:hint="eastAsia"/>
          <w:szCs w:val="26"/>
          <w:lang w:eastAsia="zh-HK"/>
        </w:rPr>
        <w:t>、認知能力評</w:t>
      </w:r>
      <w:r w:rsidR="008D416E">
        <w:rPr>
          <w:rFonts w:hint="eastAsia"/>
          <w:szCs w:val="26"/>
        </w:rPr>
        <w:t>估</w:t>
      </w:r>
      <w:r w:rsidR="008D416E">
        <w:rPr>
          <w:rFonts w:hint="eastAsia"/>
          <w:szCs w:val="26"/>
          <w:lang w:eastAsia="zh-HK"/>
        </w:rPr>
        <w:t>、骨質密</w:t>
      </w:r>
      <w:r w:rsidR="008D416E">
        <w:rPr>
          <w:rFonts w:hint="eastAsia"/>
          <w:szCs w:val="26"/>
        </w:rPr>
        <w:t>度</w:t>
      </w:r>
      <w:r w:rsidR="008D416E">
        <w:rPr>
          <w:rFonts w:hint="eastAsia"/>
          <w:szCs w:val="26"/>
          <w:lang w:eastAsia="zh-HK"/>
        </w:rPr>
        <w:t>等重要項</w:t>
      </w:r>
      <w:r w:rsidR="008D416E">
        <w:rPr>
          <w:rFonts w:hint="eastAsia"/>
          <w:szCs w:val="26"/>
        </w:rPr>
        <w:t>目</w:t>
      </w:r>
      <w:r w:rsidR="008D416E">
        <w:rPr>
          <w:rFonts w:hint="eastAsia"/>
          <w:szCs w:val="26"/>
          <w:lang w:eastAsia="zh-HK"/>
        </w:rPr>
        <w:t>均未有提及，忽</w:t>
      </w:r>
      <w:r w:rsidR="008D416E">
        <w:rPr>
          <w:rFonts w:hint="eastAsia"/>
          <w:szCs w:val="26"/>
        </w:rPr>
        <w:t>略</w:t>
      </w:r>
      <w:r w:rsidR="008D416E">
        <w:rPr>
          <w:rFonts w:hint="eastAsia"/>
          <w:szCs w:val="26"/>
          <w:lang w:eastAsia="zh-HK"/>
        </w:rPr>
        <w:t>長者健</w:t>
      </w:r>
      <w:r w:rsidR="008D416E">
        <w:rPr>
          <w:rFonts w:hint="eastAsia"/>
          <w:szCs w:val="26"/>
        </w:rPr>
        <w:t>康</w:t>
      </w:r>
      <w:r w:rsidR="008D416E">
        <w:rPr>
          <w:rFonts w:hint="eastAsia"/>
          <w:szCs w:val="26"/>
          <w:lang w:eastAsia="zh-HK"/>
        </w:rPr>
        <w:t>需要</w:t>
      </w:r>
      <w:r w:rsidR="005B68D1">
        <w:rPr>
          <w:rFonts w:hint="eastAsia"/>
          <w:szCs w:val="26"/>
          <w:lang w:eastAsia="zh-HK"/>
        </w:rPr>
        <w:t>。</w:t>
      </w:r>
      <w:r w:rsidR="008D416E">
        <w:rPr>
          <w:rFonts w:hint="eastAsia"/>
          <w:szCs w:val="26"/>
          <w:lang w:eastAsia="zh-HK"/>
        </w:rPr>
        <w:t>由於長者醫療</w:t>
      </w:r>
      <w:r w:rsidR="00A124B2">
        <w:rPr>
          <w:rFonts w:hint="eastAsia"/>
          <w:szCs w:val="26"/>
        </w:rPr>
        <w:t>健康</w:t>
      </w:r>
      <w:r w:rsidR="008D416E">
        <w:rPr>
          <w:rFonts w:hint="eastAsia"/>
          <w:szCs w:val="26"/>
          <w:lang w:eastAsia="zh-HK"/>
        </w:rPr>
        <w:t>需要龐大，</w:t>
      </w:r>
      <w:r w:rsidR="002D096C" w:rsidRPr="00216C1A">
        <w:rPr>
          <w:rFonts w:hint="eastAsia"/>
          <w:b/>
          <w:szCs w:val="26"/>
          <w:lang w:eastAsia="zh-HK"/>
        </w:rPr>
        <w:t>老權</w:t>
      </w:r>
      <w:r w:rsidR="008D416E" w:rsidRPr="00EE7989">
        <w:rPr>
          <w:rFonts w:hint="eastAsia"/>
          <w:b/>
          <w:szCs w:val="26"/>
          <w:lang w:eastAsia="zh-HK"/>
        </w:rPr>
        <w:t>促請康健中心及合</w:t>
      </w:r>
      <w:r w:rsidR="008D416E" w:rsidRPr="00EE7989">
        <w:rPr>
          <w:rFonts w:hint="eastAsia"/>
          <w:b/>
          <w:szCs w:val="26"/>
        </w:rPr>
        <w:t>作</w:t>
      </w:r>
      <w:r w:rsidR="008D416E" w:rsidRPr="00EE7989">
        <w:rPr>
          <w:rFonts w:hint="eastAsia"/>
          <w:b/>
          <w:szCs w:val="26"/>
          <w:lang w:eastAsia="zh-HK"/>
        </w:rPr>
        <w:t>的服</w:t>
      </w:r>
      <w:r w:rsidR="008D416E" w:rsidRPr="00EE7989">
        <w:rPr>
          <w:rFonts w:hint="eastAsia"/>
          <w:b/>
          <w:szCs w:val="26"/>
        </w:rPr>
        <w:t>務</w:t>
      </w:r>
      <w:r w:rsidR="008D416E" w:rsidRPr="00EE7989">
        <w:rPr>
          <w:rFonts w:hint="eastAsia"/>
          <w:b/>
          <w:szCs w:val="26"/>
          <w:lang w:eastAsia="zh-HK"/>
        </w:rPr>
        <w:t>網</w:t>
      </w:r>
      <w:r w:rsidR="00A124B2">
        <w:rPr>
          <w:rFonts w:hint="eastAsia"/>
          <w:b/>
          <w:szCs w:val="26"/>
        </w:rPr>
        <w:t>絡</w:t>
      </w:r>
      <w:r w:rsidR="008D416E" w:rsidRPr="00EE7989">
        <w:rPr>
          <w:rFonts w:hint="eastAsia"/>
          <w:b/>
          <w:szCs w:val="26"/>
          <w:lang w:eastAsia="zh-HK"/>
        </w:rPr>
        <w:t>提</w:t>
      </w:r>
      <w:r w:rsidR="008D416E" w:rsidRPr="00EE7989">
        <w:rPr>
          <w:rFonts w:hint="eastAsia"/>
          <w:b/>
          <w:szCs w:val="26"/>
        </w:rPr>
        <w:t>供</w:t>
      </w:r>
      <w:r w:rsidR="008D416E" w:rsidRPr="00EE7989">
        <w:rPr>
          <w:rFonts w:hint="eastAsia"/>
          <w:b/>
          <w:szCs w:val="26"/>
          <w:lang w:eastAsia="zh-HK"/>
        </w:rPr>
        <w:t>「長者全民保健」，劃一為</w:t>
      </w:r>
      <w:r w:rsidR="00955414" w:rsidRPr="00EE7989">
        <w:rPr>
          <w:rFonts w:hint="eastAsia"/>
          <w:b/>
          <w:szCs w:val="26"/>
          <w:lang w:eastAsia="zh-HK"/>
        </w:rPr>
        <w:t>六十</w:t>
      </w:r>
      <w:r w:rsidR="008D416E" w:rsidRPr="00EE7989">
        <w:rPr>
          <w:rFonts w:hint="eastAsia"/>
          <w:b/>
          <w:szCs w:val="26"/>
          <w:lang w:eastAsia="zh-HK"/>
        </w:rPr>
        <w:t>歲或以上長者提供</w:t>
      </w:r>
      <w:r w:rsidR="00955414" w:rsidRPr="00EE7989">
        <w:rPr>
          <w:rFonts w:hint="eastAsia"/>
          <w:b/>
          <w:szCs w:val="26"/>
          <w:lang w:eastAsia="zh-HK"/>
        </w:rPr>
        <w:t>基本</w:t>
      </w:r>
      <w:r w:rsidR="008D416E" w:rsidRPr="00EE7989">
        <w:rPr>
          <w:rFonts w:hint="eastAsia"/>
          <w:b/>
          <w:szCs w:val="26"/>
          <w:lang w:eastAsia="zh-HK"/>
        </w:rPr>
        <w:t>健康評估</w:t>
      </w:r>
      <w:r w:rsidR="008D416E">
        <w:rPr>
          <w:rFonts w:hint="eastAsia"/>
          <w:szCs w:val="26"/>
          <w:lang w:eastAsia="zh-HK"/>
        </w:rPr>
        <w:t>，</w:t>
      </w:r>
      <w:r w:rsidR="00955414">
        <w:rPr>
          <w:rFonts w:hint="eastAsia"/>
          <w:szCs w:val="26"/>
          <w:lang w:eastAsia="zh-HK"/>
        </w:rPr>
        <w:t>按需要轉</w:t>
      </w:r>
      <w:proofErr w:type="gramStart"/>
      <w:r w:rsidR="00955414">
        <w:rPr>
          <w:rFonts w:hint="eastAsia"/>
          <w:szCs w:val="26"/>
          <w:lang w:eastAsia="zh-HK"/>
        </w:rPr>
        <w:t>介</w:t>
      </w:r>
      <w:proofErr w:type="gramEnd"/>
      <w:r w:rsidR="00955414">
        <w:rPr>
          <w:rFonts w:hint="eastAsia"/>
          <w:szCs w:val="26"/>
          <w:lang w:eastAsia="zh-HK"/>
        </w:rPr>
        <w:t>進一步檢</w:t>
      </w:r>
      <w:r w:rsidR="00955414">
        <w:rPr>
          <w:rFonts w:hint="eastAsia"/>
          <w:szCs w:val="26"/>
        </w:rPr>
        <w:t>查</w:t>
      </w:r>
      <w:r w:rsidR="00955414">
        <w:rPr>
          <w:rFonts w:hint="eastAsia"/>
          <w:szCs w:val="26"/>
          <w:lang w:eastAsia="zh-HK"/>
        </w:rPr>
        <w:t>，除</w:t>
      </w:r>
      <w:r w:rsidR="008D416E">
        <w:rPr>
          <w:rFonts w:hint="eastAsia"/>
          <w:szCs w:val="26"/>
          <w:lang w:eastAsia="zh-HK"/>
        </w:rPr>
        <w:t>全面提升長者健康</w:t>
      </w:r>
      <w:r w:rsidR="00955414">
        <w:rPr>
          <w:rFonts w:hint="eastAsia"/>
          <w:szCs w:val="26"/>
          <w:lang w:eastAsia="zh-HK"/>
        </w:rPr>
        <w:t>外，亦可</w:t>
      </w:r>
      <w:r w:rsidR="008D416E">
        <w:rPr>
          <w:rFonts w:hint="eastAsia"/>
          <w:szCs w:val="26"/>
          <w:lang w:eastAsia="zh-HK"/>
        </w:rPr>
        <w:t>簡化申請</w:t>
      </w:r>
      <w:r w:rsidR="00955414">
        <w:rPr>
          <w:rFonts w:hint="eastAsia"/>
          <w:szCs w:val="26"/>
          <w:lang w:eastAsia="zh-HK"/>
        </w:rPr>
        <w:t>資</w:t>
      </w:r>
      <w:r w:rsidR="00955414">
        <w:rPr>
          <w:rFonts w:hint="eastAsia"/>
          <w:szCs w:val="26"/>
        </w:rPr>
        <w:t>格</w:t>
      </w:r>
      <w:r w:rsidR="00955414">
        <w:rPr>
          <w:rFonts w:hint="eastAsia"/>
          <w:szCs w:val="26"/>
          <w:lang w:eastAsia="zh-HK"/>
        </w:rPr>
        <w:t>及</w:t>
      </w:r>
      <w:r w:rsidR="008D416E">
        <w:rPr>
          <w:rFonts w:hint="eastAsia"/>
          <w:szCs w:val="26"/>
          <w:lang w:eastAsia="zh-HK"/>
        </w:rPr>
        <w:t>程序</w:t>
      </w:r>
      <w:r w:rsidR="00955414">
        <w:rPr>
          <w:rFonts w:hint="eastAsia"/>
          <w:szCs w:val="26"/>
          <w:lang w:eastAsia="zh-HK"/>
        </w:rPr>
        <w:t>，以免長者因不清楚</w:t>
      </w:r>
      <w:proofErr w:type="gramStart"/>
      <w:r w:rsidR="00955414">
        <w:rPr>
          <w:rFonts w:hint="eastAsia"/>
          <w:szCs w:val="26"/>
          <w:lang w:eastAsia="zh-HK"/>
        </w:rPr>
        <w:t>是否付合</w:t>
      </w:r>
      <w:r w:rsidR="00955414">
        <w:rPr>
          <w:rFonts w:hint="eastAsia"/>
          <w:szCs w:val="26"/>
          <w:lang w:eastAsia="zh-HK"/>
        </w:rPr>
        <w:t>5</w:t>
      </w:r>
      <w:r w:rsidR="00955414">
        <w:rPr>
          <w:rFonts w:hint="eastAsia"/>
          <w:szCs w:val="26"/>
          <w:lang w:eastAsia="zh-HK"/>
        </w:rPr>
        <w:t>項</w:t>
      </w:r>
      <w:proofErr w:type="gramEnd"/>
      <w:r w:rsidR="00955414">
        <w:rPr>
          <w:rFonts w:hint="eastAsia"/>
          <w:szCs w:val="26"/>
          <w:lang w:eastAsia="zh-HK"/>
        </w:rPr>
        <w:t>優先處理的慢性病及健康風險因素，及手續繁複而卻步。</w:t>
      </w:r>
      <w:r w:rsidR="0086511A">
        <w:rPr>
          <w:szCs w:val="26"/>
          <w:lang w:eastAsia="zh-HK"/>
        </w:rPr>
        <w:br/>
      </w:r>
    </w:p>
    <w:p w14:paraId="1D574942" w14:textId="3D8A6FAA" w:rsidR="0086511A" w:rsidRPr="007809D1" w:rsidRDefault="0086511A" w:rsidP="00EE7989">
      <w:pPr>
        <w:pStyle w:val="ac"/>
        <w:numPr>
          <w:ilvl w:val="0"/>
          <w:numId w:val="1"/>
        </w:numPr>
        <w:ind w:leftChars="0"/>
        <w:rPr>
          <w:b/>
          <w:szCs w:val="26"/>
          <w:lang w:eastAsia="zh-HK"/>
        </w:rPr>
      </w:pPr>
      <w:r>
        <w:rPr>
          <w:rFonts w:hint="eastAsia"/>
          <w:b/>
          <w:szCs w:val="26"/>
          <w:lang w:eastAsia="zh-HK"/>
        </w:rPr>
        <w:t>在慢性病患方面，</w:t>
      </w:r>
      <w:r w:rsidR="00EE7989">
        <w:rPr>
          <w:rFonts w:hint="eastAsia"/>
          <w:szCs w:val="26"/>
          <w:lang w:eastAsia="zh-HK"/>
        </w:rPr>
        <w:t>不少</w:t>
      </w:r>
      <w:r>
        <w:rPr>
          <w:rFonts w:hint="eastAsia"/>
          <w:szCs w:val="26"/>
          <w:lang w:eastAsia="zh-HK"/>
        </w:rPr>
        <w:t>長者</w:t>
      </w:r>
      <w:r w:rsidR="00EE7989">
        <w:rPr>
          <w:rFonts w:hint="eastAsia"/>
          <w:szCs w:val="26"/>
          <w:lang w:eastAsia="zh-HK"/>
        </w:rPr>
        <w:t>同時患有多種慢性病，同時</w:t>
      </w:r>
      <w:r w:rsidR="00EE7989" w:rsidRPr="00EE7989">
        <w:rPr>
          <w:rFonts w:hint="eastAsia"/>
          <w:szCs w:val="26"/>
          <w:lang w:eastAsia="zh-HK"/>
        </w:rPr>
        <w:t>到多個專科求診，服用多種藥物及有不同的復康</w:t>
      </w:r>
      <w:r w:rsidR="00A64B99">
        <w:rPr>
          <w:rFonts w:hint="eastAsia"/>
          <w:szCs w:val="26"/>
        </w:rPr>
        <w:t>、</w:t>
      </w:r>
      <w:r w:rsidR="00EE7989" w:rsidRPr="00EE7989">
        <w:rPr>
          <w:rFonts w:hint="eastAsia"/>
          <w:szCs w:val="26"/>
          <w:lang w:eastAsia="zh-HK"/>
        </w:rPr>
        <w:t>護理</w:t>
      </w:r>
      <w:r w:rsidR="00EE7989">
        <w:rPr>
          <w:rFonts w:hint="eastAsia"/>
          <w:szCs w:val="26"/>
          <w:lang w:eastAsia="zh-HK"/>
        </w:rPr>
        <w:t>及健</w:t>
      </w:r>
      <w:r w:rsidR="00EE7989">
        <w:rPr>
          <w:rFonts w:hint="eastAsia"/>
          <w:szCs w:val="26"/>
        </w:rPr>
        <w:t>康</w:t>
      </w:r>
      <w:r w:rsidR="00EE7989" w:rsidRPr="00EE7989">
        <w:rPr>
          <w:rFonts w:hint="eastAsia"/>
          <w:szCs w:val="26"/>
          <w:lang w:eastAsia="zh-HK"/>
        </w:rPr>
        <w:t>需要</w:t>
      </w:r>
      <w:r w:rsidR="007B0C2A">
        <w:rPr>
          <w:rFonts w:hint="eastAsia"/>
          <w:szCs w:val="26"/>
          <w:lang w:eastAsia="zh-HK"/>
        </w:rPr>
        <w:t>。</w:t>
      </w:r>
      <w:r w:rsidR="002D096C" w:rsidRPr="00216C1A">
        <w:rPr>
          <w:rFonts w:hint="eastAsia"/>
          <w:b/>
          <w:szCs w:val="26"/>
          <w:lang w:eastAsia="zh-HK"/>
        </w:rPr>
        <w:t>老權</w:t>
      </w:r>
      <w:r w:rsidR="00EE7989" w:rsidRPr="00216C1A">
        <w:rPr>
          <w:rFonts w:hint="eastAsia"/>
          <w:b/>
          <w:szCs w:val="26"/>
          <w:lang w:eastAsia="zh-HK"/>
        </w:rPr>
        <w:t>要求康健中心</w:t>
      </w:r>
      <w:r w:rsidR="007B0C2A" w:rsidRPr="00216C1A">
        <w:rPr>
          <w:rFonts w:hint="eastAsia"/>
          <w:b/>
          <w:szCs w:val="26"/>
          <w:lang w:eastAsia="zh-HK"/>
        </w:rPr>
        <w:t>為有需要長者</w:t>
      </w:r>
      <w:r w:rsidR="007B0C2A" w:rsidRPr="00216C1A">
        <w:rPr>
          <w:rFonts w:hint="eastAsia"/>
          <w:b/>
          <w:szCs w:val="26"/>
          <w:lang w:eastAsia="zh-HK"/>
        </w:rPr>
        <w:t xml:space="preserve"> (</w:t>
      </w:r>
      <w:r w:rsidR="007B0C2A" w:rsidRPr="00216C1A">
        <w:rPr>
          <w:rFonts w:hint="eastAsia"/>
          <w:b/>
          <w:szCs w:val="26"/>
          <w:lang w:eastAsia="zh-HK"/>
        </w:rPr>
        <w:t>例如患多種長期病、健康意識不足及欠缺家庭支援等</w:t>
      </w:r>
      <w:r w:rsidR="007B0C2A" w:rsidRPr="00216C1A">
        <w:rPr>
          <w:rFonts w:hint="eastAsia"/>
          <w:b/>
          <w:szCs w:val="26"/>
          <w:lang w:eastAsia="zh-HK"/>
        </w:rPr>
        <w:t>)</w:t>
      </w:r>
      <w:r w:rsidR="007B0C2A" w:rsidRPr="00216C1A">
        <w:rPr>
          <w:b/>
          <w:szCs w:val="26"/>
          <w:lang w:eastAsia="zh-HK"/>
        </w:rPr>
        <w:t xml:space="preserve"> </w:t>
      </w:r>
      <w:r w:rsidR="00EE7989" w:rsidRPr="00216C1A">
        <w:rPr>
          <w:rFonts w:hint="eastAsia"/>
          <w:b/>
          <w:szCs w:val="26"/>
          <w:lang w:eastAsia="zh-HK"/>
        </w:rPr>
        <w:t>提供「一站式健康管理」，以個案經理模式</w:t>
      </w:r>
      <w:r w:rsidR="00EE7989" w:rsidRPr="00EE7989">
        <w:rPr>
          <w:rFonts w:hint="eastAsia"/>
          <w:szCs w:val="26"/>
          <w:lang w:eastAsia="zh-HK"/>
        </w:rPr>
        <w:t>，</w:t>
      </w:r>
      <w:r w:rsidR="00EE7989">
        <w:rPr>
          <w:rFonts w:hint="eastAsia"/>
          <w:szCs w:val="26"/>
          <w:lang w:eastAsia="zh-HK"/>
        </w:rPr>
        <w:t>支援長者</w:t>
      </w:r>
      <w:r w:rsidR="007B0C2A">
        <w:rPr>
          <w:rFonts w:hint="eastAsia"/>
          <w:szCs w:val="26"/>
          <w:lang w:eastAsia="zh-HK"/>
        </w:rPr>
        <w:t>協調醫</w:t>
      </w:r>
      <w:r w:rsidR="007B0C2A">
        <w:rPr>
          <w:rFonts w:hint="eastAsia"/>
          <w:szCs w:val="26"/>
        </w:rPr>
        <w:t>療</w:t>
      </w:r>
      <w:r w:rsidR="007B0C2A">
        <w:rPr>
          <w:rFonts w:hint="eastAsia"/>
          <w:szCs w:val="26"/>
          <w:lang w:eastAsia="zh-HK"/>
        </w:rPr>
        <w:t>服務</w:t>
      </w:r>
      <w:r w:rsidR="007B0C2A">
        <w:rPr>
          <w:rFonts w:hint="eastAsia"/>
          <w:szCs w:val="26"/>
          <w:lang w:eastAsia="zh-HK"/>
        </w:rPr>
        <w:t>(</w:t>
      </w:r>
      <w:r w:rsidR="007B0C2A">
        <w:rPr>
          <w:rFonts w:hint="eastAsia"/>
          <w:szCs w:val="26"/>
          <w:lang w:eastAsia="zh-HK"/>
        </w:rPr>
        <w:t>例如數個專科覆診及藥物諮</w:t>
      </w:r>
      <w:r w:rsidR="007B0C2A">
        <w:rPr>
          <w:rFonts w:hint="eastAsia"/>
          <w:szCs w:val="26"/>
        </w:rPr>
        <w:t>詢</w:t>
      </w:r>
      <w:r w:rsidR="007B0C2A">
        <w:rPr>
          <w:rFonts w:hint="eastAsia"/>
          <w:szCs w:val="26"/>
          <w:lang w:eastAsia="zh-HK"/>
        </w:rPr>
        <w:t>等</w:t>
      </w:r>
      <w:r w:rsidR="007B0C2A">
        <w:rPr>
          <w:rFonts w:hint="eastAsia"/>
          <w:szCs w:val="26"/>
          <w:lang w:eastAsia="zh-HK"/>
        </w:rPr>
        <w:t>)</w:t>
      </w:r>
      <w:r w:rsidR="007B0C2A">
        <w:rPr>
          <w:rFonts w:hint="eastAsia"/>
          <w:szCs w:val="26"/>
          <w:lang w:eastAsia="zh-HK"/>
        </w:rPr>
        <w:t>及健康服務</w:t>
      </w:r>
      <w:r w:rsidR="007B0C2A">
        <w:rPr>
          <w:rFonts w:hint="eastAsia"/>
          <w:szCs w:val="26"/>
          <w:lang w:eastAsia="zh-HK"/>
        </w:rPr>
        <w:t xml:space="preserve"> (</w:t>
      </w:r>
      <w:r w:rsidR="007B0C2A">
        <w:rPr>
          <w:rFonts w:hint="eastAsia"/>
          <w:szCs w:val="26"/>
          <w:lang w:eastAsia="zh-HK"/>
        </w:rPr>
        <w:t>例如參與各種健康評估及善用醫療券等</w:t>
      </w:r>
      <w:r w:rsidR="007B0C2A">
        <w:rPr>
          <w:rFonts w:hint="eastAsia"/>
          <w:szCs w:val="26"/>
          <w:lang w:eastAsia="zh-HK"/>
        </w:rPr>
        <w:t>)</w:t>
      </w:r>
      <w:r w:rsidR="007B0C2A">
        <w:rPr>
          <w:rFonts w:hint="eastAsia"/>
          <w:szCs w:val="26"/>
          <w:lang w:eastAsia="zh-HK"/>
        </w:rPr>
        <w:t>。文件對支援患多種疾病的弱勢長者隻字不提，</w:t>
      </w:r>
      <w:r w:rsidR="002D096C">
        <w:rPr>
          <w:rFonts w:hint="eastAsia"/>
          <w:szCs w:val="26"/>
          <w:lang w:eastAsia="zh-HK"/>
        </w:rPr>
        <w:t>基層長者</w:t>
      </w:r>
      <w:r w:rsidR="007B0C2A">
        <w:rPr>
          <w:rFonts w:hint="eastAsia"/>
          <w:szCs w:val="26"/>
          <w:lang w:eastAsia="zh-HK"/>
        </w:rPr>
        <w:t>對此極度</w:t>
      </w:r>
      <w:r w:rsidR="007809D1">
        <w:rPr>
          <w:rFonts w:hint="eastAsia"/>
          <w:szCs w:val="26"/>
          <w:lang w:eastAsia="zh-HK"/>
        </w:rPr>
        <w:t>失望。</w:t>
      </w:r>
      <w:r w:rsidR="007809D1">
        <w:rPr>
          <w:szCs w:val="26"/>
          <w:lang w:eastAsia="zh-HK"/>
        </w:rPr>
        <w:br/>
      </w:r>
    </w:p>
    <w:p w14:paraId="7E86C101" w14:textId="02EA93CC" w:rsidR="007809D1" w:rsidRPr="00216C1A" w:rsidRDefault="007809D1" w:rsidP="00EE7989">
      <w:pPr>
        <w:pStyle w:val="ac"/>
        <w:numPr>
          <w:ilvl w:val="0"/>
          <w:numId w:val="1"/>
        </w:numPr>
        <w:ind w:leftChars="0"/>
        <w:rPr>
          <w:b/>
          <w:szCs w:val="26"/>
          <w:lang w:eastAsia="zh-HK"/>
        </w:rPr>
      </w:pPr>
      <w:r>
        <w:rPr>
          <w:rFonts w:hint="eastAsia"/>
          <w:b/>
          <w:szCs w:val="26"/>
          <w:lang w:eastAsia="zh-HK"/>
        </w:rPr>
        <w:t>在服務協調方面，</w:t>
      </w:r>
      <w:r w:rsidR="00072535" w:rsidRPr="00072535">
        <w:rPr>
          <w:rFonts w:hint="eastAsia"/>
          <w:szCs w:val="26"/>
          <w:lang w:eastAsia="zh-HK"/>
        </w:rPr>
        <w:t>文件</w:t>
      </w:r>
      <w:r w:rsidR="00072535">
        <w:rPr>
          <w:rFonts w:hint="eastAsia"/>
          <w:szCs w:val="26"/>
          <w:lang w:eastAsia="zh-HK"/>
        </w:rPr>
        <w:t>34</w:t>
      </w:r>
      <w:r w:rsidR="00072535">
        <w:rPr>
          <w:rFonts w:hint="eastAsia"/>
          <w:szCs w:val="26"/>
          <w:lang w:eastAsia="zh-HK"/>
        </w:rPr>
        <w:t>段提及康健中心將單向接受醫管局轉介個案，除此以外文件並無</w:t>
      </w:r>
      <w:r w:rsidR="00072535">
        <w:rPr>
          <w:rFonts w:hint="eastAsia"/>
          <w:szCs w:val="26"/>
          <w:lang w:eastAsia="zh-HK"/>
        </w:rPr>
        <w:lastRenderedPageBreak/>
        <w:t>提及康健中心與現有公營醫療系統的合作，及與現時不斷擴展的「社區健康中心」</w:t>
      </w:r>
      <w:r w:rsidR="002D096C">
        <w:rPr>
          <w:rFonts w:hint="eastAsia"/>
          <w:szCs w:val="26"/>
          <w:lang w:eastAsia="zh-HK"/>
        </w:rPr>
        <w:t>及衛生署的「長者健</w:t>
      </w:r>
      <w:r w:rsidR="002D096C">
        <w:rPr>
          <w:rFonts w:hint="eastAsia"/>
          <w:szCs w:val="26"/>
        </w:rPr>
        <w:t>康</w:t>
      </w:r>
      <w:r w:rsidR="002D096C">
        <w:rPr>
          <w:rFonts w:hint="eastAsia"/>
          <w:szCs w:val="26"/>
          <w:lang w:eastAsia="zh-HK"/>
        </w:rPr>
        <w:t>中心」</w:t>
      </w:r>
      <w:r w:rsidR="00072535">
        <w:rPr>
          <w:rFonts w:hint="eastAsia"/>
          <w:szCs w:val="26"/>
          <w:lang w:eastAsia="zh-HK"/>
        </w:rPr>
        <w:t>如何配合。</w:t>
      </w:r>
      <w:r w:rsidR="002D096C" w:rsidRPr="00216C1A">
        <w:rPr>
          <w:rFonts w:hint="eastAsia"/>
          <w:b/>
          <w:szCs w:val="26"/>
          <w:lang w:eastAsia="zh-HK"/>
        </w:rPr>
        <w:t>老權促請</w:t>
      </w:r>
      <w:r w:rsidR="00E76A42" w:rsidRPr="00216C1A">
        <w:rPr>
          <w:rFonts w:hint="eastAsia"/>
          <w:b/>
          <w:szCs w:val="26"/>
          <w:lang w:eastAsia="zh-HK"/>
        </w:rPr>
        <w:t>政府檢討</w:t>
      </w:r>
      <w:r w:rsidR="00A64B99">
        <w:rPr>
          <w:rFonts w:hint="eastAsia"/>
          <w:b/>
          <w:szCs w:val="26"/>
        </w:rPr>
        <w:t>上述</w:t>
      </w:r>
      <w:proofErr w:type="gramStart"/>
      <w:r w:rsidR="00A64B99">
        <w:rPr>
          <w:rFonts w:hint="eastAsia"/>
          <w:b/>
          <w:szCs w:val="26"/>
        </w:rPr>
        <w:t>醫</w:t>
      </w:r>
      <w:proofErr w:type="gramEnd"/>
      <w:r w:rsidR="00A64B99">
        <w:rPr>
          <w:rFonts w:hint="eastAsia"/>
          <w:b/>
          <w:szCs w:val="26"/>
        </w:rPr>
        <w:t>管局及衞生署提供的基層醫療健康服務</w:t>
      </w:r>
      <w:r w:rsidR="00E76A42" w:rsidRPr="00216C1A">
        <w:rPr>
          <w:rFonts w:hint="eastAsia"/>
          <w:b/>
          <w:szCs w:val="26"/>
          <w:lang w:eastAsia="zh-HK"/>
        </w:rPr>
        <w:t>的角色定位，確保</w:t>
      </w:r>
      <w:r w:rsidR="00A64B99">
        <w:rPr>
          <w:rFonts w:hint="eastAsia"/>
          <w:b/>
          <w:szCs w:val="26"/>
        </w:rPr>
        <w:t>提供</w:t>
      </w:r>
      <w:r w:rsidR="00E76A42" w:rsidRPr="00216C1A">
        <w:rPr>
          <w:rFonts w:hint="eastAsia"/>
          <w:b/>
          <w:szCs w:val="26"/>
          <w:lang w:eastAsia="zh-HK"/>
        </w:rPr>
        <w:t>基層醫療健康服務</w:t>
      </w:r>
      <w:r w:rsidR="00A64B99">
        <w:rPr>
          <w:rFonts w:hint="eastAsia"/>
          <w:b/>
          <w:szCs w:val="26"/>
        </w:rPr>
        <w:t>的康健中心</w:t>
      </w:r>
      <w:r w:rsidR="00E76A42" w:rsidRPr="00216C1A">
        <w:rPr>
          <w:rFonts w:hint="eastAsia"/>
          <w:b/>
          <w:szCs w:val="26"/>
          <w:lang w:eastAsia="zh-HK"/>
        </w:rPr>
        <w:t>與醫管局</w:t>
      </w:r>
      <w:r w:rsidR="00A64B99">
        <w:rPr>
          <w:rFonts w:hint="eastAsia"/>
          <w:b/>
          <w:szCs w:val="26"/>
        </w:rPr>
        <w:t>及衞生署之間</w:t>
      </w:r>
      <w:r w:rsidR="00E76A42" w:rsidRPr="00216C1A">
        <w:rPr>
          <w:rFonts w:hint="eastAsia"/>
          <w:b/>
          <w:szCs w:val="26"/>
          <w:lang w:eastAsia="zh-HK"/>
        </w:rPr>
        <w:t>的合作溝通</w:t>
      </w:r>
      <w:r w:rsidR="00E76A42">
        <w:rPr>
          <w:rFonts w:hint="eastAsia"/>
          <w:szCs w:val="26"/>
          <w:lang w:eastAsia="zh-HK"/>
        </w:rPr>
        <w:t>，舉例而言，若長者因藥物副作用或病情惡化向康健中心求助，康健中心應能與</w:t>
      </w:r>
      <w:r w:rsidR="00216C1A">
        <w:rPr>
          <w:rFonts w:hint="eastAsia"/>
          <w:szCs w:val="26"/>
          <w:lang w:eastAsia="zh-HK"/>
        </w:rPr>
        <w:t>醫管局</w:t>
      </w:r>
      <w:r w:rsidR="00E76A42">
        <w:rPr>
          <w:rFonts w:hint="eastAsia"/>
          <w:szCs w:val="26"/>
          <w:lang w:eastAsia="zh-HK"/>
        </w:rPr>
        <w:t>協調及提供協助，無須長者重覆到專科或急症室求助</w:t>
      </w:r>
      <w:r w:rsidR="00216C1A">
        <w:rPr>
          <w:rFonts w:hint="eastAsia"/>
          <w:szCs w:val="26"/>
          <w:lang w:eastAsia="zh-HK"/>
        </w:rPr>
        <w:t>，費時失事。</w:t>
      </w:r>
      <w:r w:rsidR="00216C1A">
        <w:rPr>
          <w:szCs w:val="26"/>
          <w:lang w:eastAsia="zh-HK"/>
        </w:rPr>
        <w:br/>
      </w:r>
    </w:p>
    <w:p w14:paraId="2CC3FEC0" w14:textId="7C34A4B7" w:rsidR="005A75E6" w:rsidRPr="005A75E6" w:rsidRDefault="00216C1A" w:rsidP="005A75E6">
      <w:pPr>
        <w:pStyle w:val="ac"/>
        <w:numPr>
          <w:ilvl w:val="0"/>
          <w:numId w:val="1"/>
        </w:numPr>
        <w:ind w:leftChars="0"/>
        <w:rPr>
          <w:b/>
          <w:szCs w:val="26"/>
          <w:lang w:eastAsia="zh-HK"/>
        </w:rPr>
      </w:pPr>
      <w:r>
        <w:rPr>
          <w:rFonts w:hint="eastAsia"/>
          <w:b/>
          <w:szCs w:val="26"/>
          <w:lang w:eastAsia="zh-HK"/>
        </w:rPr>
        <w:t>康健中心未來發展方面，</w:t>
      </w:r>
      <w:r>
        <w:rPr>
          <w:rFonts w:hint="eastAsia"/>
          <w:szCs w:val="26"/>
          <w:lang w:eastAsia="zh-HK"/>
        </w:rPr>
        <w:t>基層醫</w:t>
      </w:r>
      <w:r>
        <w:rPr>
          <w:rFonts w:hint="eastAsia"/>
          <w:szCs w:val="26"/>
        </w:rPr>
        <w:t>療</w:t>
      </w:r>
      <w:r>
        <w:rPr>
          <w:rFonts w:hint="eastAsia"/>
          <w:szCs w:val="26"/>
          <w:lang w:eastAsia="zh-HK"/>
        </w:rPr>
        <w:t>改</w:t>
      </w:r>
      <w:r>
        <w:rPr>
          <w:rFonts w:hint="eastAsia"/>
          <w:szCs w:val="26"/>
        </w:rPr>
        <w:t>革</w:t>
      </w:r>
      <w:r>
        <w:rPr>
          <w:rFonts w:hint="eastAsia"/>
          <w:szCs w:val="26"/>
          <w:lang w:eastAsia="zh-HK"/>
        </w:rPr>
        <w:t>自九十年代至今近三十年，</w:t>
      </w:r>
      <w:r w:rsidRPr="00155749">
        <w:rPr>
          <w:rFonts w:hint="eastAsia"/>
          <w:szCs w:val="26"/>
        </w:rPr>
        <w:t>急症室</w:t>
      </w:r>
      <w:r>
        <w:rPr>
          <w:rFonts w:hint="eastAsia"/>
          <w:szCs w:val="26"/>
          <w:lang w:eastAsia="zh-HK"/>
        </w:rPr>
        <w:t>仍長期</w:t>
      </w:r>
      <w:r w:rsidRPr="00155749">
        <w:rPr>
          <w:rFonts w:hint="eastAsia"/>
          <w:szCs w:val="26"/>
        </w:rPr>
        <w:t>爆滿</w:t>
      </w:r>
      <w:r>
        <w:rPr>
          <w:rFonts w:hint="eastAsia"/>
          <w:szCs w:val="26"/>
          <w:lang w:eastAsia="zh-HK"/>
        </w:rPr>
        <w:t>，</w:t>
      </w:r>
      <w:r w:rsidRPr="00155749">
        <w:rPr>
          <w:rFonts w:hint="eastAsia"/>
          <w:szCs w:val="26"/>
        </w:rPr>
        <w:t>專科輪候</w:t>
      </w:r>
      <w:r>
        <w:rPr>
          <w:rFonts w:hint="eastAsia"/>
          <w:szCs w:val="26"/>
          <w:lang w:eastAsia="zh-HK"/>
        </w:rPr>
        <w:t>達三年，</w:t>
      </w:r>
      <w:r w:rsidRPr="00DF7669">
        <w:rPr>
          <w:rFonts w:hint="eastAsia"/>
          <w:b/>
          <w:szCs w:val="26"/>
          <w:lang w:eastAsia="zh-HK"/>
        </w:rPr>
        <w:t>老權促請政府儘快提交康健中心發展的時間表，及早籌</w:t>
      </w:r>
      <w:r w:rsidRPr="00DF7669">
        <w:rPr>
          <w:rFonts w:hint="eastAsia"/>
          <w:b/>
          <w:szCs w:val="26"/>
        </w:rPr>
        <w:t>備</w:t>
      </w:r>
      <w:r w:rsidRPr="00DF7669">
        <w:rPr>
          <w:rFonts w:hint="eastAsia"/>
          <w:b/>
          <w:szCs w:val="26"/>
          <w:lang w:eastAsia="zh-HK"/>
        </w:rPr>
        <w:t>於人口老化及貧窮社區如深水埗，黃大仙及觀塘等推展服務</w:t>
      </w:r>
      <w:r>
        <w:rPr>
          <w:rFonts w:hint="eastAsia"/>
          <w:szCs w:val="26"/>
          <w:lang w:eastAsia="zh-HK"/>
        </w:rPr>
        <w:t>。長遠而言</w:t>
      </w:r>
      <w:r w:rsidR="00DF7669">
        <w:rPr>
          <w:rFonts w:asciiTheme="minorEastAsia" w:hAnsiTheme="minorEastAsia" w:hint="eastAsia"/>
          <w:lang w:eastAsia="zh-HK"/>
        </w:rPr>
        <w:t>成立更高層次的行政機構，如</w:t>
      </w:r>
      <w:proofErr w:type="gramStart"/>
      <w:r w:rsidR="00DF7669">
        <w:rPr>
          <w:rFonts w:asciiTheme="minorEastAsia" w:hAnsiTheme="minorEastAsia" w:hint="eastAsia"/>
          <w:lang w:eastAsia="zh-HK"/>
        </w:rPr>
        <w:t>健康管理局</w:t>
      </w:r>
      <w:proofErr w:type="gramEnd"/>
      <w:r w:rsidR="00DF7669">
        <w:rPr>
          <w:rFonts w:asciiTheme="minorEastAsia" w:hAnsiTheme="minorEastAsia" w:hint="eastAsia"/>
          <w:lang w:eastAsia="zh-HK"/>
        </w:rPr>
        <w:t xml:space="preserve"> (</w:t>
      </w:r>
      <w:r w:rsidR="00DF7669">
        <w:rPr>
          <w:rFonts w:asciiTheme="minorEastAsia" w:hAnsiTheme="minorEastAsia"/>
          <w:lang w:eastAsia="zh-HK"/>
        </w:rPr>
        <w:t>Health Authority)</w:t>
      </w:r>
      <w:r w:rsidR="00DF7669">
        <w:rPr>
          <w:rFonts w:asciiTheme="minorEastAsia" w:hAnsiTheme="minorEastAsia" w:hint="eastAsia"/>
          <w:lang w:eastAsia="zh-HK"/>
        </w:rPr>
        <w:t>，統籌及營運公營及公私營協作的基層醫療健康服務</w:t>
      </w:r>
      <w:r w:rsidR="00A64B99">
        <w:rPr>
          <w:rFonts w:asciiTheme="minorEastAsia" w:hAnsiTheme="minorEastAsia" w:hint="eastAsia"/>
        </w:rPr>
        <w:t>，並應</w:t>
      </w:r>
      <w:r w:rsidR="00DF7669" w:rsidRPr="00B96EA5">
        <w:rPr>
          <w:rFonts w:asciiTheme="minorEastAsia" w:hAnsiTheme="minorEastAsia" w:hint="eastAsia"/>
          <w:lang w:eastAsia="zh-HK"/>
        </w:rPr>
        <w:t>設立以健康效果為本（Health-outcome-based）</w:t>
      </w:r>
      <w:r w:rsidR="00DF7669">
        <w:rPr>
          <w:rFonts w:asciiTheme="minorEastAsia" w:hAnsiTheme="minorEastAsia" w:hint="eastAsia"/>
          <w:lang w:eastAsia="zh-HK"/>
        </w:rPr>
        <w:t>模式運作</w:t>
      </w:r>
      <w:r w:rsidR="00DF7669" w:rsidRPr="00B96EA5">
        <w:rPr>
          <w:rFonts w:asciiTheme="minorEastAsia" w:hAnsiTheme="minorEastAsia" w:hint="eastAsia"/>
          <w:lang w:eastAsia="zh-HK"/>
        </w:rPr>
        <w:t>的資源分配及成效監察</w:t>
      </w:r>
      <w:r w:rsidR="00DF7669">
        <w:rPr>
          <w:rFonts w:asciiTheme="minorEastAsia" w:hAnsiTheme="minorEastAsia" w:hint="eastAsia"/>
          <w:lang w:eastAsia="zh-HK"/>
        </w:rPr>
        <w:t>機制。</w:t>
      </w:r>
    </w:p>
    <w:p w14:paraId="7D10B317" w14:textId="170086AC" w:rsidR="008721E0" w:rsidRPr="005A75E6" w:rsidRDefault="008721E0">
      <w:pPr>
        <w:rPr>
          <w:b/>
          <w:sz w:val="16"/>
        </w:rPr>
      </w:pPr>
    </w:p>
    <w:p w14:paraId="04B3761D" w14:textId="23DDA839" w:rsidR="008721E0" w:rsidRPr="005A75E6" w:rsidRDefault="005A75E6" w:rsidP="005A75E6">
      <w:pPr>
        <w:ind w:firstLine="405"/>
        <w:rPr>
          <w:b/>
          <w:sz w:val="16"/>
        </w:rPr>
      </w:pPr>
      <w:r w:rsidRPr="005A75E6">
        <w:rPr>
          <w:rFonts w:hint="eastAsia"/>
          <w:b/>
          <w:sz w:val="20"/>
          <w:szCs w:val="26"/>
        </w:rPr>
        <w:t>香港老人權益聯盟</w:t>
      </w:r>
      <w:r w:rsidRPr="005A75E6">
        <w:rPr>
          <w:rFonts w:hint="eastAsia"/>
          <w:b/>
          <w:sz w:val="20"/>
          <w:szCs w:val="26"/>
          <w:lang w:eastAsia="zh-HK"/>
        </w:rPr>
        <w:t>另於</w:t>
      </w:r>
      <w:r w:rsidRPr="005A75E6">
        <w:rPr>
          <w:rFonts w:hint="eastAsia"/>
          <w:b/>
          <w:sz w:val="20"/>
          <w:szCs w:val="26"/>
        </w:rPr>
        <w:t>2</w:t>
      </w:r>
      <w:r w:rsidRPr="005A75E6">
        <w:rPr>
          <w:rFonts w:hint="eastAsia"/>
          <w:b/>
          <w:sz w:val="20"/>
          <w:szCs w:val="26"/>
          <w:lang w:eastAsia="zh-HK"/>
        </w:rPr>
        <w:t>018</w:t>
      </w:r>
      <w:r w:rsidRPr="005A75E6">
        <w:rPr>
          <w:rFonts w:hint="eastAsia"/>
          <w:b/>
          <w:sz w:val="20"/>
          <w:szCs w:val="26"/>
          <w:lang w:eastAsia="zh-HK"/>
        </w:rPr>
        <w:t>年</w:t>
      </w:r>
      <w:r w:rsidRPr="005A75E6">
        <w:rPr>
          <w:rFonts w:hint="eastAsia"/>
          <w:b/>
          <w:sz w:val="20"/>
          <w:szCs w:val="26"/>
        </w:rPr>
        <w:t>3</w:t>
      </w:r>
      <w:r w:rsidRPr="005A75E6">
        <w:rPr>
          <w:rFonts w:hint="eastAsia"/>
          <w:b/>
          <w:sz w:val="20"/>
          <w:szCs w:val="26"/>
          <w:lang w:eastAsia="zh-HK"/>
        </w:rPr>
        <w:t>月發表對地區康健中心的意見書，及於</w:t>
      </w:r>
      <w:r w:rsidRPr="005A75E6">
        <w:rPr>
          <w:rFonts w:hint="eastAsia"/>
          <w:b/>
          <w:sz w:val="20"/>
          <w:szCs w:val="26"/>
        </w:rPr>
        <w:t>6</w:t>
      </w:r>
      <w:r w:rsidRPr="005A75E6">
        <w:rPr>
          <w:rFonts w:hint="eastAsia"/>
          <w:b/>
          <w:sz w:val="20"/>
          <w:szCs w:val="26"/>
          <w:lang w:eastAsia="zh-HK"/>
        </w:rPr>
        <w:t>月發表對基層醫療健康政策及服務建議書《長者基層醫療健康意見書》等，有關意見書可於網上參閱</w:t>
      </w:r>
      <w:r>
        <w:rPr>
          <w:rFonts w:hint="eastAsia"/>
          <w:b/>
          <w:sz w:val="20"/>
          <w:szCs w:val="26"/>
          <w:lang w:eastAsia="zh-HK"/>
        </w:rPr>
        <w:t xml:space="preserve"> (</w:t>
      </w:r>
      <w:hyperlink r:id="rId9" w:history="1">
        <w:r w:rsidRPr="00391605">
          <w:rPr>
            <w:rStyle w:val="ad"/>
            <w:b/>
            <w:sz w:val="20"/>
            <w:szCs w:val="26"/>
            <w:lang w:eastAsia="zh-HK"/>
          </w:rPr>
          <w:t>http://www.soco.org.hk/news/new_c.htm</w:t>
        </w:r>
      </w:hyperlink>
      <w:r>
        <w:rPr>
          <w:b/>
          <w:sz w:val="20"/>
          <w:szCs w:val="26"/>
          <w:lang w:eastAsia="zh-HK"/>
        </w:rPr>
        <w:t xml:space="preserve">) </w:t>
      </w:r>
    </w:p>
    <w:p w14:paraId="76438AA9" w14:textId="77777777" w:rsidR="001C58B7" w:rsidRPr="005A75E6" w:rsidRDefault="001C58B7" w:rsidP="005A75E6">
      <w:pPr>
        <w:spacing w:line="360" w:lineRule="exact"/>
        <w:ind w:leftChars="-354" w:left="-850" w:right="120"/>
        <w:jc w:val="right"/>
        <w:rPr>
          <w:rFonts w:ascii="新細明體" w:hAnsi="新細明體" w:cs="Arial"/>
          <w:szCs w:val="26"/>
          <w:shd w:val="clear" w:color="auto" w:fill="FFFFFF"/>
        </w:rPr>
      </w:pPr>
    </w:p>
    <w:p w14:paraId="5400DAB6" w14:textId="77777777" w:rsidR="001C58B7" w:rsidRPr="00155749" w:rsidRDefault="001C58B7" w:rsidP="001C58B7">
      <w:pPr>
        <w:spacing w:line="360" w:lineRule="exact"/>
        <w:ind w:leftChars="-354" w:left="-850"/>
        <w:jc w:val="right"/>
        <w:rPr>
          <w:rFonts w:ascii="新細明體" w:hAnsi="新細明體" w:cs="Arial"/>
          <w:szCs w:val="26"/>
          <w:shd w:val="clear" w:color="auto" w:fill="FFFFFF"/>
        </w:rPr>
      </w:pPr>
      <w:r w:rsidRPr="00155749">
        <w:rPr>
          <w:rFonts w:ascii="新細明體" w:hAnsi="新細明體" w:cs="Arial" w:hint="eastAsia"/>
          <w:szCs w:val="26"/>
          <w:shd w:val="clear" w:color="auto" w:fill="FFFFFF"/>
        </w:rPr>
        <w:t>香港老人權益聯盟</w:t>
      </w:r>
    </w:p>
    <w:p w14:paraId="3FD3552E" w14:textId="5863F4E3" w:rsidR="001C58B7" w:rsidRPr="00155749" w:rsidRDefault="001C58B7" w:rsidP="001C58B7">
      <w:pPr>
        <w:spacing w:line="360" w:lineRule="exact"/>
        <w:ind w:leftChars="-354" w:left="-850" w:firstLine="850"/>
        <w:jc w:val="right"/>
        <w:rPr>
          <w:rFonts w:ascii="新細明體" w:hAnsi="新細明體" w:cs="Arial"/>
          <w:szCs w:val="26"/>
          <w:shd w:val="clear" w:color="auto" w:fill="FFFFFF"/>
        </w:rPr>
      </w:pPr>
      <w:r w:rsidRPr="00155749">
        <w:rPr>
          <w:rFonts w:ascii="新細明體" w:hAnsi="新細明體" w:cs="Arial" w:hint="eastAsia"/>
          <w:szCs w:val="26"/>
          <w:shd w:val="clear" w:color="auto" w:fill="FFFFFF"/>
        </w:rPr>
        <w:t>2</w:t>
      </w:r>
      <w:r w:rsidRPr="00155749">
        <w:rPr>
          <w:rFonts w:ascii="新細明體" w:hAnsi="新細明體" w:cs="Arial"/>
          <w:szCs w:val="26"/>
          <w:shd w:val="clear" w:color="auto" w:fill="FFFFFF"/>
        </w:rPr>
        <w:t>018</w:t>
      </w:r>
      <w:r w:rsidRPr="00155749">
        <w:rPr>
          <w:rFonts w:ascii="新細明體" w:hAnsi="新細明體" w:cs="Arial" w:hint="eastAsia"/>
          <w:szCs w:val="26"/>
          <w:shd w:val="clear" w:color="auto" w:fill="FFFFFF"/>
          <w:lang w:eastAsia="zh-HK"/>
        </w:rPr>
        <w:t>年</w:t>
      </w:r>
      <w:r w:rsidR="005A75E6">
        <w:rPr>
          <w:rFonts w:ascii="新細明體" w:hAnsi="新細明體" w:cs="Arial"/>
          <w:szCs w:val="26"/>
          <w:shd w:val="clear" w:color="auto" w:fill="FFFFFF"/>
          <w:lang w:eastAsia="zh-HK"/>
        </w:rPr>
        <w:t>7</w:t>
      </w:r>
      <w:r w:rsidRPr="00155749">
        <w:rPr>
          <w:rFonts w:ascii="新細明體" w:hAnsi="新細明體" w:cs="Arial" w:hint="eastAsia"/>
          <w:szCs w:val="26"/>
          <w:shd w:val="clear" w:color="auto" w:fill="FFFFFF"/>
          <w:lang w:eastAsia="zh-HK"/>
        </w:rPr>
        <w:t>月</w:t>
      </w:r>
      <w:r w:rsidR="005A75E6">
        <w:rPr>
          <w:rFonts w:ascii="新細明體" w:hAnsi="新細明體" w:cs="Arial" w:hint="eastAsia"/>
          <w:szCs w:val="26"/>
          <w:shd w:val="clear" w:color="auto" w:fill="FFFFFF"/>
          <w:lang w:eastAsia="zh-HK"/>
        </w:rPr>
        <w:t>1</w:t>
      </w:r>
      <w:r w:rsidR="005A75E6">
        <w:rPr>
          <w:rFonts w:ascii="新細明體" w:hAnsi="新細明體" w:cs="Arial"/>
          <w:szCs w:val="26"/>
          <w:shd w:val="clear" w:color="auto" w:fill="FFFFFF"/>
          <w:lang w:eastAsia="zh-HK"/>
        </w:rPr>
        <w:t>3</w:t>
      </w:r>
      <w:r w:rsidRPr="00155749">
        <w:rPr>
          <w:rFonts w:ascii="新細明體" w:hAnsi="新細明體" w:cs="Arial" w:hint="eastAsia"/>
          <w:szCs w:val="26"/>
          <w:shd w:val="clear" w:color="auto" w:fill="FFFFFF"/>
          <w:lang w:eastAsia="zh-HK"/>
        </w:rPr>
        <w:t>日</w:t>
      </w:r>
    </w:p>
    <w:sectPr w:rsidR="001C58B7" w:rsidRPr="00155749" w:rsidSect="007809D1">
      <w:pgSz w:w="11906" w:h="16838"/>
      <w:pgMar w:top="284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F22AB" w14:textId="77777777" w:rsidR="0064427E" w:rsidRDefault="0064427E" w:rsidP="00C14E70">
      <w:r>
        <w:separator/>
      </w:r>
    </w:p>
  </w:endnote>
  <w:endnote w:type="continuationSeparator" w:id="0">
    <w:p w14:paraId="18039229" w14:textId="77777777" w:rsidR="0064427E" w:rsidRDefault="0064427E" w:rsidP="00C1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8EF10" w14:textId="77777777" w:rsidR="0064427E" w:rsidRDefault="0064427E" w:rsidP="00C14E70">
      <w:r>
        <w:separator/>
      </w:r>
    </w:p>
  </w:footnote>
  <w:footnote w:type="continuationSeparator" w:id="0">
    <w:p w14:paraId="29E72B65" w14:textId="77777777" w:rsidR="0064427E" w:rsidRDefault="0064427E" w:rsidP="00C1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E41"/>
    <w:multiLevelType w:val="hybridMultilevel"/>
    <w:tmpl w:val="EDEE7B5E"/>
    <w:lvl w:ilvl="0" w:tplc="67DCFF18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3"/>
    <w:rsid w:val="00034241"/>
    <w:rsid w:val="00072535"/>
    <w:rsid w:val="000B6AA9"/>
    <w:rsid w:val="000C2A64"/>
    <w:rsid w:val="00124F25"/>
    <w:rsid w:val="00125D65"/>
    <w:rsid w:val="00134F0D"/>
    <w:rsid w:val="00155749"/>
    <w:rsid w:val="001A5C01"/>
    <w:rsid w:val="001C3B8E"/>
    <w:rsid w:val="001C58B7"/>
    <w:rsid w:val="001F2E78"/>
    <w:rsid w:val="00216C1A"/>
    <w:rsid w:val="0025785D"/>
    <w:rsid w:val="00263B7E"/>
    <w:rsid w:val="002D096C"/>
    <w:rsid w:val="002E012C"/>
    <w:rsid w:val="00305393"/>
    <w:rsid w:val="00316CB7"/>
    <w:rsid w:val="00340A48"/>
    <w:rsid w:val="00384129"/>
    <w:rsid w:val="003B2EB1"/>
    <w:rsid w:val="003B3524"/>
    <w:rsid w:val="003B5A11"/>
    <w:rsid w:val="003D3313"/>
    <w:rsid w:val="00413B6D"/>
    <w:rsid w:val="004601CF"/>
    <w:rsid w:val="0047265A"/>
    <w:rsid w:val="004C1B1C"/>
    <w:rsid w:val="004D6A80"/>
    <w:rsid w:val="004D7422"/>
    <w:rsid w:val="005113C5"/>
    <w:rsid w:val="0057070F"/>
    <w:rsid w:val="005A6AC8"/>
    <w:rsid w:val="005A75E6"/>
    <w:rsid w:val="005B68D1"/>
    <w:rsid w:val="005C22F7"/>
    <w:rsid w:val="0062798B"/>
    <w:rsid w:val="0064427E"/>
    <w:rsid w:val="0068545E"/>
    <w:rsid w:val="006A1B75"/>
    <w:rsid w:val="0070246F"/>
    <w:rsid w:val="00731840"/>
    <w:rsid w:val="00732C2B"/>
    <w:rsid w:val="007509DA"/>
    <w:rsid w:val="007637CC"/>
    <w:rsid w:val="00764337"/>
    <w:rsid w:val="007809D1"/>
    <w:rsid w:val="007A79A3"/>
    <w:rsid w:val="007B0C2A"/>
    <w:rsid w:val="007B6690"/>
    <w:rsid w:val="007C2372"/>
    <w:rsid w:val="007F225B"/>
    <w:rsid w:val="0086511A"/>
    <w:rsid w:val="008721E0"/>
    <w:rsid w:val="00882BD9"/>
    <w:rsid w:val="008C7D75"/>
    <w:rsid w:val="008D416E"/>
    <w:rsid w:val="008E01FD"/>
    <w:rsid w:val="008F533A"/>
    <w:rsid w:val="008F66BD"/>
    <w:rsid w:val="00915043"/>
    <w:rsid w:val="009315E6"/>
    <w:rsid w:val="00955414"/>
    <w:rsid w:val="0096192E"/>
    <w:rsid w:val="00A07BA7"/>
    <w:rsid w:val="00A124B2"/>
    <w:rsid w:val="00A21DA2"/>
    <w:rsid w:val="00A64B99"/>
    <w:rsid w:val="00AB6534"/>
    <w:rsid w:val="00AB664F"/>
    <w:rsid w:val="00AE034D"/>
    <w:rsid w:val="00AE26BB"/>
    <w:rsid w:val="00AE27DF"/>
    <w:rsid w:val="00AE78DC"/>
    <w:rsid w:val="00B205C5"/>
    <w:rsid w:val="00B34E50"/>
    <w:rsid w:val="00B658D0"/>
    <w:rsid w:val="00B67AD4"/>
    <w:rsid w:val="00BA1468"/>
    <w:rsid w:val="00BB181C"/>
    <w:rsid w:val="00BC5073"/>
    <w:rsid w:val="00BD776A"/>
    <w:rsid w:val="00BD79B1"/>
    <w:rsid w:val="00BE7E05"/>
    <w:rsid w:val="00BF6A43"/>
    <w:rsid w:val="00C11109"/>
    <w:rsid w:val="00C14E70"/>
    <w:rsid w:val="00C51B80"/>
    <w:rsid w:val="00CB06E3"/>
    <w:rsid w:val="00CD01E6"/>
    <w:rsid w:val="00D6559C"/>
    <w:rsid w:val="00D72F74"/>
    <w:rsid w:val="00DF7669"/>
    <w:rsid w:val="00E12A7C"/>
    <w:rsid w:val="00E2794C"/>
    <w:rsid w:val="00E73C0B"/>
    <w:rsid w:val="00E76A42"/>
    <w:rsid w:val="00E8033F"/>
    <w:rsid w:val="00E84872"/>
    <w:rsid w:val="00E92E31"/>
    <w:rsid w:val="00EB0516"/>
    <w:rsid w:val="00EE7989"/>
    <w:rsid w:val="00EF7818"/>
    <w:rsid w:val="00F222CD"/>
    <w:rsid w:val="00F35047"/>
    <w:rsid w:val="00F62F3E"/>
    <w:rsid w:val="00F74B78"/>
    <w:rsid w:val="00F97DE7"/>
    <w:rsid w:val="00FD2B49"/>
    <w:rsid w:val="00FD741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25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14E70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註腳文字 字元"/>
    <w:basedOn w:val="a0"/>
    <w:link w:val="a3"/>
    <w:rsid w:val="00C14E7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footnote reference"/>
    <w:rsid w:val="00C14E7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5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9D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9DA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0516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0516"/>
    <w:rPr>
      <w:rFonts w:ascii="Lucida Grande" w:eastAsia="新細明體" w:hAnsi="Lucida Grande" w:cs="Lucida Grande"/>
      <w:sz w:val="18"/>
      <w:szCs w:val="18"/>
    </w:rPr>
  </w:style>
  <w:style w:type="paragraph" w:styleId="ac">
    <w:name w:val="List Paragraph"/>
    <w:basedOn w:val="a"/>
    <w:uiPriority w:val="34"/>
    <w:qFormat/>
    <w:rsid w:val="00263B7E"/>
    <w:pPr>
      <w:ind w:leftChars="200" w:left="480"/>
    </w:pPr>
  </w:style>
  <w:style w:type="character" w:styleId="ad">
    <w:name w:val="Hyperlink"/>
    <w:basedOn w:val="a0"/>
    <w:uiPriority w:val="99"/>
    <w:unhideWhenUsed/>
    <w:rsid w:val="005A75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14E70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註腳文字 字元"/>
    <w:basedOn w:val="a0"/>
    <w:link w:val="a3"/>
    <w:rsid w:val="00C14E7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footnote reference"/>
    <w:rsid w:val="00C14E7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5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9D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9DA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0516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0516"/>
    <w:rPr>
      <w:rFonts w:ascii="Lucida Grande" w:eastAsia="新細明體" w:hAnsi="Lucida Grande" w:cs="Lucida Grande"/>
      <w:sz w:val="18"/>
      <w:szCs w:val="18"/>
    </w:rPr>
  </w:style>
  <w:style w:type="paragraph" w:styleId="ac">
    <w:name w:val="List Paragraph"/>
    <w:basedOn w:val="a"/>
    <w:uiPriority w:val="34"/>
    <w:qFormat/>
    <w:rsid w:val="00263B7E"/>
    <w:pPr>
      <w:ind w:leftChars="200" w:left="480"/>
    </w:pPr>
  </w:style>
  <w:style w:type="character" w:styleId="ad">
    <w:name w:val="Hyperlink"/>
    <w:basedOn w:val="a0"/>
    <w:uiPriority w:val="99"/>
    <w:unhideWhenUsed/>
    <w:rsid w:val="005A7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co.org.hk/news/new_c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8811-9F6F-4BFB-995D-D76ADADC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Yuen</cp:lastModifiedBy>
  <cp:revision>16</cp:revision>
  <cp:lastPrinted>2018-04-09T12:09:00Z</cp:lastPrinted>
  <dcterms:created xsi:type="dcterms:W3CDTF">2018-07-13T04:08:00Z</dcterms:created>
  <dcterms:modified xsi:type="dcterms:W3CDTF">2018-07-16T05:06:00Z</dcterms:modified>
</cp:coreProperties>
</file>