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25" w:rsidRPr="001D630B" w:rsidRDefault="001D630B" w:rsidP="001D630B">
      <w:pPr>
        <w:jc w:val="center"/>
        <w:rPr>
          <w:b/>
          <w:lang w:eastAsia="zh-HK"/>
        </w:rPr>
      </w:pPr>
      <w:r w:rsidRPr="001D630B">
        <w:rPr>
          <w:rFonts w:hint="eastAsia"/>
          <w:b/>
        </w:rPr>
        <w:t>香港社區組織協會</w:t>
      </w:r>
    </w:p>
    <w:p w:rsidR="00527925" w:rsidRPr="00FE24C0" w:rsidRDefault="00527925" w:rsidP="00527925">
      <w:pPr>
        <w:jc w:val="center"/>
        <w:rPr>
          <w:rFonts w:ascii="標楷體" w:eastAsia="標楷體" w:hAnsi="標楷體"/>
          <w:b/>
          <w:sz w:val="28"/>
        </w:rPr>
      </w:pPr>
      <w:proofErr w:type="gramStart"/>
      <w:r w:rsidRPr="00FE24C0">
        <w:rPr>
          <w:rFonts w:ascii="標楷體" w:eastAsia="標楷體" w:hAnsi="標楷體" w:hint="eastAsia"/>
          <w:b/>
          <w:sz w:val="28"/>
        </w:rPr>
        <w:t xml:space="preserve">沉冤未得雪　</w:t>
      </w:r>
      <w:r w:rsidR="008B7FC2" w:rsidRPr="00FE24C0">
        <w:rPr>
          <w:rFonts w:ascii="標楷體" w:eastAsia="標楷體" w:hAnsi="標楷體" w:hint="eastAsia"/>
          <w:b/>
          <w:sz w:val="28"/>
        </w:rPr>
        <w:t>新魂</w:t>
      </w:r>
      <w:r w:rsidRPr="00FE24C0">
        <w:rPr>
          <w:rFonts w:ascii="標楷體" w:eastAsia="標楷體" w:hAnsi="標楷體" w:hint="eastAsia"/>
          <w:b/>
          <w:sz w:val="28"/>
        </w:rPr>
        <w:t>恐</w:t>
      </w:r>
      <w:proofErr w:type="gramEnd"/>
      <w:r w:rsidRPr="00FE24C0">
        <w:rPr>
          <w:rFonts w:ascii="標楷體" w:eastAsia="標楷體" w:hAnsi="標楷體" w:hint="eastAsia"/>
          <w:b/>
          <w:sz w:val="28"/>
        </w:rPr>
        <w:t>又添</w:t>
      </w:r>
    </w:p>
    <w:p w:rsidR="00527925" w:rsidRDefault="00527925" w:rsidP="00527925">
      <w:pPr>
        <w:jc w:val="center"/>
      </w:pPr>
      <w:r>
        <w:rPr>
          <w:rFonts w:hint="eastAsia"/>
        </w:rPr>
        <w:t>嚴重醫療事故死者蔡文超</w:t>
      </w:r>
    </w:p>
    <w:p w:rsidR="00527925" w:rsidRDefault="00527925" w:rsidP="00FE24C0">
      <w:pPr>
        <w:pBdr>
          <w:bottom w:val="single" w:sz="12" w:space="1" w:color="auto"/>
        </w:pBdr>
        <w:jc w:val="center"/>
      </w:pPr>
      <w:r>
        <w:rPr>
          <w:rFonts w:hint="eastAsia"/>
        </w:rPr>
        <w:t>家屬記者會</w:t>
      </w:r>
    </w:p>
    <w:p w:rsidR="00527925" w:rsidRDefault="00527925"/>
    <w:p w:rsidR="00852982" w:rsidRDefault="00B92632" w:rsidP="00B92632">
      <w:pPr>
        <w:jc w:val="both"/>
      </w:pPr>
      <w:r>
        <w:rPr>
          <w:rFonts w:hint="eastAsia"/>
        </w:rPr>
        <w:t xml:space="preserve">　　</w:t>
      </w:r>
      <w:r w:rsidR="00852982">
        <w:rPr>
          <w:rFonts w:hint="eastAsia"/>
        </w:rPr>
        <w:t>近日基督教聯合醫院遺漏處方預防性抗乙肝病毒藥物的嚴重醫療事故引起全城關注</w:t>
      </w:r>
      <w:r>
        <w:rPr>
          <w:rFonts w:hint="eastAsia"/>
        </w:rPr>
        <w:t>。</w:t>
      </w:r>
      <w:r w:rsidR="00852982">
        <w:rPr>
          <w:rFonts w:hint="eastAsia"/>
        </w:rPr>
        <w:t>事故令曾長期服用高劑量類固醇的腎病病人鄧桂思，經過兩次換肝手術，至今仍徘徊於生死邊緣。八年前同樣的醫療事故，令腎病病人蔡文超於</w:t>
      </w:r>
      <w:r w:rsidR="00852982">
        <w:rPr>
          <w:rFonts w:hint="eastAsia"/>
        </w:rPr>
        <w:t>2009</w:t>
      </w:r>
      <w:r w:rsidR="00852982">
        <w:rPr>
          <w:rFonts w:hint="eastAsia"/>
        </w:rPr>
        <w:t>年因急性肝衰竭身故，家屬至今仍未釋懷</w:t>
      </w:r>
      <w:r>
        <w:rPr>
          <w:rFonts w:hint="eastAsia"/>
        </w:rPr>
        <w:t>，</w:t>
      </w:r>
      <w:r w:rsidR="00852982">
        <w:rPr>
          <w:rFonts w:hint="eastAsia"/>
        </w:rPr>
        <w:t>眼見事故再次重演</w:t>
      </w:r>
      <w:r>
        <w:rPr>
          <w:rFonts w:hint="eastAsia"/>
        </w:rPr>
        <w:t>，更是百感交集</w:t>
      </w:r>
      <w:r w:rsidR="00852982">
        <w:rPr>
          <w:rFonts w:hint="eastAsia"/>
        </w:rPr>
        <w:t>。</w:t>
      </w:r>
    </w:p>
    <w:p w:rsidR="00852982" w:rsidRDefault="00852982" w:rsidP="00852982">
      <w:r>
        <w:t xml:space="preserve"> </w:t>
      </w:r>
    </w:p>
    <w:p w:rsidR="00527925" w:rsidRDefault="00852982" w:rsidP="00852982">
      <w:r>
        <w:rPr>
          <w:rFonts w:hint="eastAsia"/>
        </w:rPr>
        <w:t xml:space="preserve">　　另外，家屬於</w:t>
      </w:r>
      <w:r>
        <w:rPr>
          <w:rFonts w:hint="eastAsia"/>
        </w:rPr>
        <w:t>2012</w:t>
      </w:r>
      <w:r>
        <w:rPr>
          <w:rFonts w:hint="eastAsia"/>
        </w:rPr>
        <w:t>年</w:t>
      </w:r>
      <w:r w:rsidR="00B92632">
        <w:rPr>
          <w:rFonts w:hint="eastAsia"/>
        </w:rPr>
        <w:t>5</w:t>
      </w:r>
      <w:r w:rsidR="00B92632">
        <w:rPr>
          <w:rFonts w:hint="eastAsia"/>
        </w:rPr>
        <w:t>月</w:t>
      </w:r>
      <w:r>
        <w:rPr>
          <w:rFonts w:hint="eastAsia"/>
        </w:rPr>
        <w:t>向醫委會投訴涉事的伊利沙伯醫院腎科專科醫生黃浩聲失德，希望取得公道。家屬一直苦候至今年一月，醫委會最終裁決黃醫生失德罪名不成立</w:t>
      </w:r>
      <w:r w:rsidR="00B92632">
        <w:rPr>
          <w:rFonts w:hint="eastAsia"/>
        </w:rPr>
        <w:t>，</w:t>
      </w:r>
      <w:r>
        <w:rPr>
          <w:rFonts w:hint="eastAsia"/>
        </w:rPr>
        <w:t>家屬對此</w:t>
      </w:r>
      <w:r w:rsidR="00B92632">
        <w:rPr>
          <w:rFonts w:hint="eastAsia"/>
        </w:rPr>
        <w:t>亦</w:t>
      </w:r>
      <w:r>
        <w:rPr>
          <w:rFonts w:hint="eastAsia"/>
        </w:rPr>
        <w:t>耿耿於懷。本會分析醫委會的裁決理據後，認為有值得商榷之處</w:t>
      </w:r>
      <w:r w:rsidR="005835BF">
        <w:rPr>
          <w:rFonts w:hint="eastAsia"/>
        </w:rPr>
        <w:t>，現闡述</w:t>
      </w:r>
      <w:r w:rsidR="00B92632">
        <w:rPr>
          <w:rFonts w:hint="eastAsia"/>
        </w:rPr>
        <w:t>如下</w:t>
      </w:r>
      <w:r w:rsidR="005835BF">
        <w:rPr>
          <w:rFonts w:hint="eastAsia"/>
        </w:rPr>
        <w:t>（事發經過請參閱附頁）。</w:t>
      </w:r>
    </w:p>
    <w:p w:rsidR="00852982" w:rsidRPr="005835BF" w:rsidRDefault="00852982" w:rsidP="00852982"/>
    <w:p w:rsidR="00527925" w:rsidRDefault="005835BF">
      <w:r>
        <w:rPr>
          <w:rFonts w:hint="eastAsia"/>
        </w:rPr>
        <w:t>（一）</w:t>
      </w:r>
      <w:r w:rsidR="00527925">
        <w:rPr>
          <w:rFonts w:hint="eastAsia"/>
        </w:rPr>
        <w:t>投訴重點</w:t>
      </w:r>
    </w:p>
    <w:p w:rsidR="00527925" w:rsidRDefault="005835BF">
      <w:r>
        <w:rPr>
          <w:rFonts w:hint="eastAsia"/>
        </w:rPr>
        <w:t>家屬向醫委會作出以下三項投訴：</w:t>
      </w:r>
    </w:p>
    <w:p w:rsidR="008E18F7" w:rsidRDefault="008E18F7" w:rsidP="009006F3">
      <w:pPr>
        <w:pStyle w:val="a5"/>
        <w:numPr>
          <w:ilvl w:val="0"/>
          <w:numId w:val="2"/>
        </w:numPr>
        <w:ind w:leftChars="0"/>
        <w:jc w:val="both"/>
        <w:rPr>
          <w:lang w:eastAsia="zh-HK"/>
        </w:rPr>
      </w:pPr>
      <w:r>
        <w:rPr>
          <w:rFonts w:hint="eastAsia"/>
          <w:lang w:eastAsia="zh-HK"/>
        </w:rPr>
        <w:t>Failed to assess the Deceased</w:t>
      </w:r>
      <w:r>
        <w:rPr>
          <w:lang w:eastAsia="zh-HK"/>
        </w:rPr>
        <w:t>’</w:t>
      </w:r>
      <w:r>
        <w:rPr>
          <w:rFonts w:hint="eastAsia"/>
          <w:lang w:eastAsia="zh-HK"/>
        </w:rPr>
        <w:t>s hepatitis B status in detail before and during treatments with immunosuppressant or escalated dose of immunosuppressant</w:t>
      </w:r>
      <w:r>
        <w:rPr>
          <w:rFonts w:hint="eastAsia"/>
        </w:rPr>
        <w:t>（為死者提供</w:t>
      </w:r>
      <w:r w:rsidR="006A7770">
        <w:rPr>
          <w:rFonts w:hint="eastAsia"/>
        </w:rPr>
        <w:t>免疫</w:t>
      </w:r>
      <w:r>
        <w:rPr>
          <w:rFonts w:hint="eastAsia"/>
        </w:rPr>
        <w:t>抑制劑治療或增加該藥物劑量之前或期間，未有詳細評估死者乙型肝炎狀況）</w:t>
      </w:r>
    </w:p>
    <w:p w:rsidR="005835BF" w:rsidRPr="005835BF" w:rsidRDefault="005835BF" w:rsidP="005835BF">
      <w:pPr>
        <w:pStyle w:val="a5"/>
        <w:ind w:leftChars="0" w:left="360"/>
        <w:rPr>
          <w:lang w:eastAsia="zh-HK"/>
        </w:rPr>
      </w:pPr>
    </w:p>
    <w:p w:rsidR="008E18F7" w:rsidRDefault="008E18F7" w:rsidP="009006F3">
      <w:pPr>
        <w:pStyle w:val="a5"/>
        <w:numPr>
          <w:ilvl w:val="0"/>
          <w:numId w:val="2"/>
        </w:numPr>
        <w:ind w:leftChars="0"/>
        <w:jc w:val="both"/>
        <w:rPr>
          <w:lang w:eastAsia="zh-HK"/>
        </w:rPr>
      </w:pPr>
      <w:r>
        <w:rPr>
          <w:rFonts w:hint="eastAsia"/>
          <w:lang w:eastAsia="zh-HK"/>
        </w:rPr>
        <w:t xml:space="preserve">Failed to provide adequate information to the Deceased regarding the risk of immunosuppressant induced </w:t>
      </w:r>
      <w:r>
        <w:rPr>
          <w:lang w:eastAsia="zh-HK"/>
        </w:rPr>
        <w:t>hepatitis</w:t>
      </w:r>
      <w:r>
        <w:rPr>
          <w:rFonts w:hint="eastAsia"/>
          <w:lang w:eastAsia="zh-HK"/>
        </w:rPr>
        <w:t xml:space="preserve"> B reactivation and the availability of antiviral prophylaxis</w:t>
      </w:r>
      <w:r>
        <w:rPr>
          <w:rFonts w:hint="eastAsia"/>
        </w:rPr>
        <w:t>（</w:t>
      </w:r>
      <w:r w:rsidR="006A7770">
        <w:rPr>
          <w:rFonts w:hint="eastAsia"/>
        </w:rPr>
        <w:t>未有讓死者</w:t>
      </w:r>
      <w:r w:rsidR="00426650">
        <w:rPr>
          <w:rFonts w:hint="eastAsia"/>
        </w:rPr>
        <w:t>知悉</w:t>
      </w:r>
      <w:r w:rsidR="006A7770">
        <w:rPr>
          <w:rFonts w:hint="eastAsia"/>
        </w:rPr>
        <w:t>接受免疫抑制劑治療時，可能引發乙肝復發的風險，及有預防性抗病毒</w:t>
      </w:r>
      <w:r w:rsidR="000C7AA8">
        <w:rPr>
          <w:rFonts w:hint="eastAsia"/>
        </w:rPr>
        <w:t>藥物</w:t>
      </w:r>
      <w:r>
        <w:rPr>
          <w:rFonts w:hint="eastAsia"/>
        </w:rPr>
        <w:t>）</w:t>
      </w:r>
    </w:p>
    <w:p w:rsidR="005835BF" w:rsidRDefault="005835BF" w:rsidP="005835BF">
      <w:pPr>
        <w:rPr>
          <w:lang w:eastAsia="zh-HK"/>
        </w:rPr>
      </w:pPr>
    </w:p>
    <w:p w:rsidR="006A7770" w:rsidRDefault="006A7770" w:rsidP="009006F3">
      <w:pPr>
        <w:pStyle w:val="a5"/>
        <w:numPr>
          <w:ilvl w:val="0"/>
          <w:numId w:val="2"/>
        </w:numPr>
        <w:ind w:leftChars="0"/>
        <w:jc w:val="both"/>
        <w:rPr>
          <w:lang w:eastAsia="zh-HK"/>
        </w:rPr>
      </w:pPr>
      <w:r>
        <w:rPr>
          <w:rFonts w:hint="eastAsia"/>
          <w:lang w:eastAsia="zh-HK"/>
        </w:rPr>
        <w:t>Failed to prescribe antiviral prophylaxis to reduce the risks of hepatitis B reactivation before commencement of immunosuppressant or escalated dose of immunosuppressant</w:t>
      </w:r>
      <w:r>
        <w:rPr>
          <w:rFonts w:hint="eastAsia"/>
        </w:rPr>
        <w:t>（在提供免疫抑制劑治療或增加該藥物劑量之前，未有處方預防性抗病毒</w:t>
      </w:r>
      <w:r w:rsidR="000C7AA8">
        <w:rPr>
          <w:rFonts w:hint="eastAsia"/>
        </w:rPr>
        <w:t>藥物</w:t>
      </w:r>
      <w:r>
        <w:rPr>
          <w:rFonts w:hint="eastAsia"/>
        </w:rPr>
        <w:t>，以減少乙肝復發的風險）</w:t>
      </w:r>
    </w:p>
    <w:p w:rsidR="00527925" w:rsidRDefault="00527925"/>
    <w:p w:rsidR="00A261D1" w:rsidRDefault="005835BF" w:rsidP="009006F3">
      <w:pPr>
        <w:jc w:val="both"/>
      </w:pPr>
      <w:r>
        <w:rPr>
          <w:rFonts w:hint="eastAsia"/>
        </w:rPr>
        <w:t xml:space="preserve">　　</w:t>
      </w:r>
      <w:r w:rsidR="006A7770">
        <w:rPr>
          <w:rFonts w:hint="eastAsia"/>
        </w:rPr>
        <w:t>投訴</w:t>
      </w:r>
      <w:r>
        <w:rPr>
          <w:rFonts w:hint="eastAsia"/>
        </w:rPr>
        <w:t>第一及第</w:t>
      </w:r>
      <w:r w:rsidR="006A7770">
        <w:rPr>
          <w:rFonts w:hint="eastAsia"/>
        </w:rPr>
        <w:t>三</w:t>
      </w:r>
      <w:r>
        <w:rPr>
          <w:rFonts w:hint="eastAsia"/>
        </w:rPr>
        <w:t>項，</w:t>
      </w:r>
      <w:r w:rsidR="00677FB7">
        <w:rPr>
          <w:rFonts w:hint="eastAsia"/>
        </w:rPr>
        <w:t>指控黃浩聲醫生作出</w:t>
      </w:r>
      <w:r w:rsidR="00677FB7">
        <w:rPr>
          <w:rFonts w:asciiTheme="minorEastAsia" w:hAnsiTheme="minorEastAsia" w:hint="eastAsia"/>
        </w:rPr>
        <w:t>「</w:t>
      </w:r>
      <w:r w:rsidR="00677FB7">
        <w:rPr>
          <w:rFonts w:hint="eastAsia"/>
        </w:rPr>
        <w:t>專業上的失當行為</w:t>
      </w:r>
      <w:r w:rsidR="00677FB7">
        <w:rPr>
          <w:rFonts w:asciiTheme="minorEastAsia" w:hAnsiTheme="minorEastAsia" w:hint="eastAsia"/>
        </w:rPr>
        <w:t>」</w:t>
      </w:r>
      <w:r w:rsidR="00677FB7">
        <w:rPr>
          <w:rFonts w:hint="eastAsia"/>
        </w:rPr>
        <w:t>，即未達註冊醫生應有水平的行為。</w:t>
      </w:r>
      <w:r w:rsidR="00A261D1">
        <w:rPr>
          <w:rFonts w:hint="eastAsia"/>
        </w:rPr>
        <w:t>投訴二，</w:t>
      </w:r>
      <w:r w:rsidR="00677FB7">
        <w:rPr>
          <w:rFonts w:hint="eastAsia"/>
        </w:rPr>
        <w:t>指控黃浩聲醫生違反</w:t>
      </w:r>
      <w:r>
        <w:rPr>
          <w:rFonts w:asciiTheme="minorEastAsia" w:hAnsiTheme="minorEastAsia" w:hint="eastAsia"/>
        </w:rPr>
        <w:t>《</w:t>
      </w:r>
      <w:r w:rsidR="00A261D1">
        <w:rPr>
          <w:rFonts w:hint="eastAsia"/>
        </w:rPr>
        <w:t>註冊醫生專業守則</w:t>
      </w:r>
      <w:r>
        <w:rPr>
          <w:rFonts w:asciiTheme="minorEastAsia" w:hAnsiTheme="minorEastAsia" w:hint="eastAsia"/>
        </w:rPr>
        <w:t>》</w:t>
      </w:r>
      <w:r w:rsidR="00A261D1">
        <w:rPr>
          <w:rFonts w:hint="eastAsia"/>
        </w:rPr>
        <w:t>（</w:t>
      </w:r>
      <w:r w:rsidR="00A261D1">
        <w:rPr>
          <w:rFonts w:hint="eastAsia"/>
          <w:lang w:eastAsia="zh-HK"/>
        </w:rPr>
        <w:t>2016</w:t>
      </w:r>
      <w:r w:rsidR="00A261D1">
        <w:rPr>
          <w:rFonts w:hint="eastAsia"/>
        </w:rPr>
        <w:t>）</w:t>
      </w:r>
      <w:r>
        <w:rPr>
          <w:rFonts w:hint="eastAsia"/>
        </w:rPr>
        <w:t>內，</w:t>
      </w:r>
      <w:r w:rsidR="00A261D1" w:rsidRPr="005835BF">
        <w:rPr>
          <w:i/>
        </w:rPr>
        <w:t xml:space="preserve">2.10 </w:t>
      </w:r>
      <w:r w:rsidR="00A261D1" w:rsidRPr="005835BF">
        <w:rPr>
          <w:rFonts w:hint="eastAsia"/>
          <w:i/>
        </w:rPr>
        <w:t>建議治療與風險的恰當解釋</w:t>
      </w:r>
      <w:r>
        <w:rPr>
          <w:rFonts w:hint="eastAsia"/>
        </w:rPr>
        <w:t>一項中，第</w:t>
      </w:r>
      <w:r w:rsidR="00A261D1">
        <w:t>2.10.3</w:t>
      </w:r>
      <w:r>
        <w:rPr>
          <w:rFonts w:hint="eastAsia"/>
        </w:rPr>
        <w:t>項：</w:t>
      </w:r>
      <w:r>
        <w:rPr>
          <w:rFonts w:asciiTheme="minorEastAsia" w:hAnsiTheme="minorEastAsia" w:hint="eastAsia"/>
        </w:rPr>
        <w:t>「</w:t>
      </w:r>
      <w:r w:rsidR="00A261D1">
        <w:rPr>
          <w:rFonts w:hint="eastAsia"/>
        </w:rPr>
        <w:t>該解釋不但應涵蓋治療所涉及的顯著風險，還應涵蓋出現嚴重後果的風險，即使其可能性偏低</w:t>
      </w:r>
      <w:r w:rsidR="00A261D1">
        <w:rPr>
          <w:rFonts w:hint="eastAsia"/>
        </w:rPr>
        <w:t>(</w:t>
      </w:r>
      <w:r w:rsidR="00A261D1">
        <w:rPr>
          <w:rFonts w:hint="eastAsia"/>
        </w:rPr>
        <w:t>即可能性低的嚴重後果風險</w:t>
      </w:r>
      <w:r w:rsidR="00A261D1">
        <w:rPr>
          <w:rFonts w:hint="eastAsia"/>
        </w:rPr>
        <w:t>)</w:t>
      </w:r>
      <w:r w:rsidR="00A261D1">
        <w:rPr>
          <w:rFonts w:hint="eastAsia"/>
        </w:rPr>
        <w:t>。</w:t>
      </w:r>
      <w:r>
        <w:rPr>
          <w:rFonts w:asciiTheme="minorEastAsia" w:hAnsiTheme="minorEastAsia" w:hint="eastAsia"/>
        </w:rPr>
        <w:t>」</w:t>
      </w:r>
    </w:p>
    <w:p w:rsidR="00527925" w:rsidRDefault="005835BF">
      <w:r>
        <w:rPr>
          <w:rFonts w:hint="eastAsia"/>
        </w:rPr>
        <w:lastRenderedPageBreak/>
        <w:t>（二）</w:t>
      </w:r>
      <w:r w:rsidR="00527925">
        <w:rPr>
          <w:rFonts w:hint="eastAsia"/>
        </w:rPr>
        <w:t>裁決理據</w:t>
      </w:r>
    </w:p>
    <w:p w:rsidR="00527925" w:rsidRDefault="005835BF">
      <w:r>
        <w:rPr>
          <w:rFonts w:hint="eastAsia"/>
        </w:rPr>
        <w:t>醫委會</w:t>
      </w:r>
      <w:r w:rsidR="009006F3">
        <w:rPr>
          <w:rFonts w:hint="eastAsia"/>
        </w:rPr>
        <w:t>基於家屬的投訴，擬定控罪的過程如下：</w:t>
      </w:r>
    </w:p>
    <w:p w:rsidR="009006F3" w:rsidRDefault="009006F3"/>
    <w:p w:rsidR="00677FB7" w:rsidRDefault="009006F3" w:rsidP="009006F3">
      <w:pPr>
        <w:jc w:val="both"/>
        <w:rPr>
          <w:lang w:eastAsia="zh-HK"/>
        </w:rPr>
      </w:pPr>
      <w:r>
        <w:rPr>
          <w:rFonts w:hint="eastAsia"/>
        </w:rPr>
        <w:t>初偵會草擬的控罪──</w:t>
      </w:r>
      <w:r w:rsidR="00677FB7">
        <w:rPr>
          <w:lang w:eastAsia="zh-HK"/>
        </w:rPr>
        <w:t>‘</w:t>
      </w:r>
      <w:r w:rsidR="00677FB7">
        <w:rPr>
          <w:rFonts w:hint="eastAsia"/>
          <w:lang w:eastAsia="zh-HK"/>
        </w:rPr>
        <w:t>that particulars of the complaint are that from about 2007to December 2008, you, being a registered medical practitioner, disregarded your professional responsibility to your patient CHOI Man Chiu (</w:t>
      </w:r>
      <w:r w:rsidR="00677FB7">
        <w:rPr>
          <w:lang w:eastAsia="zh-HK"/>
        </w:rPr>
        <w:t>‘</w:t>
      </w:r>
      <w:r w:rsidR="00677FB7">
        <w:rPr>
          <w:rFonts w:hint="eastAsia"/>
          <w:lang w:eastAsia="zh-HK"/>
        </w:rPr>
        <w:t>the Patient</w:t>
      </w:r>
      <w:r w:rsidR="00677FB7">
        <w:rPr>
          <w:lang w:eastAsia="zh-HK"/>
        </w:rPr>
        <w:t>’</w:t>
      </w:r>
      <w:r w:rsidR="00677FB7">
        <w:rPr>
          <w:rFonts w:hint="eastAsia"/>
          <w:lang w:eastAsia="zh-HK"/>
        </w:rPr>
        <w:t xml:space="preserve">), deceased, in that you failed to give appropriate antiviral prophylaxis </w:t>
      </w:r>
      <w:r w:rsidR="00677FB7" w:rsidRPr="004164B2">
        <w:rPr>
          <w:rFonts w:hint="eastAsia"/>
          <w:u w:val="single"/>
          <w:lang w:eastAsia="zh-HK"/>
        </w:rPr>
        <w:t>with lamivudine</w:t>
      </w:r>
      <w:r w:rsidR="00677FB7">
        <w:rPr>
          <w:rFonts w:hint="eastAsia"/>
          <w:lang w:eastAsia="zh-HK"/>
        </w:rPr>
        <w:t xml:space="preserve"> to the Patient to reduce the risks of Hepatitis B reactivation, severity of associated Hepatitis flares and/ or mortality, when managing the Patient as a known Hepatitis B carrier with </w:t>
      </w:r>
      <w:r w:rsidR="00677FB7">
        <w:rPr>
          <w:lang w:eastAsia="zh-HK"/>
        </w:rPr>
        <w:t>steroid</w:t>
      </w:r>
      <w:r w:rsidR="00677FB7">
        <w:rPr>
          <w:rFonts w:hint="eastAsia"/>
          <w:lang w:eastAsia="zh-HK"/>
        </w:rPr>
        <w:t xml:space="preserve"> and immunosuppressive treatment</w:t>
      </w:r>
      <w:r w:rsidR="00677FB7">
        <w:rPr>
          <w:lang w:eastAsia="zh-HK"/>
        </w:rPr>
        <w:t>’</w:t>
      </w:r>
    </w:p>
    <w:p w:rsidR="00677FB7" w:rsidRPr="009006F3" w:rsidRDefault="00677FB7">
      <w:pPr>
        <w:rPr>
          <w:lang w:eastAsia="zh-HK"/>
        </w:rPr>
      </w:pPr>
    </w:p>
    <w:p w:rsidR="00677FB7" w:rsidRDefault="00677FB7" w:rsidP="009006F3">
      <w:pPr>
        <w:jc w:val="both"/>
        <w:rPr>
          <w:lang w:eastAsia="zh-HK"/>
        </w:rPr>
      </w:pPr>
      <w:r>
        <w:rPr>
          <w:rFonts w:hint="eastAsia"/>
        </w:rPr>
        <w:t>醫委會修訂</w:t>
      </w:r>
      <w:r w:rsidR="009006F3">
        <w:rPr>
          <w:rFonts w:hint="eastAsia"/>
        </w:rPr>
        <w:t>的控罪──</w:t>
      </w:r>
      <w:r>
        <w:rPr>
          <w:lang w:eastAsia="zh-HK"/>
        </w:rPr>
        <w:t>‘</w:t>
      </w:r>
      <w:r>
        <w:rPr>
          <w:rFonts w:hint="eastAsia"/>
          <w:lang w:eastAsia="zh-HK"/>
        </w:rPr>
        <w:t>that from about 2007</w:t>
      </w:r>
      <w:r w:rsidR="004164B2">
        <w:rPr>
          <w:rFonts w:hint="eastAsia"/>
          <w:lang w:eastAsia="zh-HK"/>
        </w:rPr>
        <w:t xml:space="preserve"> </w:t>
      </w:r>
      <w:r>
        <w:rPr>
          <w:rFonts w:hint="eastAsia"/>
          <w:lang w:eastAsia="zh-HK"/>
        </w:rPr>
        <w:t>to December 2008, you, being a registered medical practitioner, disregarded your professional responsibility to your patient CHOI Man Chiu (</w:t>
      </w:r>
      <w:r>
        <w:rPr>
          <w:lang w:eastAsia="zh-HK"/>
        </w:rPr>
        <w:t>‘</w:t>
      </w:r>
      <w:r>
        <w:rPr>
          <w:rFonts w:hint="eastAsia"/>
          <w:lang w:eastAsia="zh-HK"/>
        </w:rPr>
        <w:t>the Patient</w:t>
      </w:r>
      <w:r>
        <w:rPr>
          <w:lang w:eastAsia="zh-HK"/>
        </w:rPr>
        <w:t>’</w:t>
      </w:r>
      <w:r>
        <w:rPr>
          <w:rFonts w:hint="eastAsia"/>
          <w:lang w:eastAsia="zh-HK"/>
        </w:rPr>
        <w:t xml:space="preserve">), deceased, in that you failed to give appropriate antiviral prophylaxis to the Patient to reduce the risks of Hepatitis B reactivation, severity of associated Hepatitis flares and/ or mortality, when managing the Patient as a known Hepatitis B carrier with </w:t>
      </w:r>
      <w:r>
        <w:rPr>
          <w:lang w:eastAsia="zh-HK"/>
        </w:rPr>
        <w:t>steroid</w:t>
      </w:r>
      <w:r>
        <w:rPr>
          <w:rFonts w:hint="eastAsia"/>
          <w:lang w:eastAsia="zh-HK"/>
        </w:rPr>
        <w:t xml:space="preserve"> </w:t>
      </w:r>
      <w:r w:rsidRPr="004164B2">
        <w:rPr>
          <w:rFonts w:hint="eastAsia"/>
          <w:u w:val="single"/>
          <w:lang w:eastAsia="zh-HK"/>
        </w:rPr>
        <w:t>and/ or</w:t>
      </w:r>
      <w:r>
        <w:rPr>
          <w:rFonts w:hint="eastAsia"/>
          <w:lang w:eastAsia="zh-HK"/>
        </w:rPr>
        <w:t xml:space="preserve"> immunosuppressive treatment </w:t>
      </w:r>
      <w:r w:rsidRPr="004164B2">
        <w:rPr>
          <w:rFonts w:hint="eastAsia"/>
          <w:u w:val="single"/>
          <w:lang w:eastAsia="zh-HK"/>
        </w:rPr>
        <w:t>for his kidney disease</w:t>
      </w:r>
      <w:r>
        <w:rPr>
          <w:lang w:eastAsia="zh-HK"/>
        </w:rPr>
        <w:t>’</w:t>
      </w:r>
    </w:p>
    <w:p w:rsidR="00677FB7" w:rsidRDefault="00677FB7">
      <w:pPr>
        <w:rPr>
          <w:lang w:eastAsia="zh-HK"/>
        </w:rPr>
      </w:pPr>
    </w:p>
    <w:p w:rsidR="004164B2" w:rsidRDefault="000C7AA8" w:rsidP="009006F3">
      <w:pPr>
        <w:jc w:val="both"/>
        <w:rPr>
          <w:lang w:eastAsia="zh-HK"/>
        </w:rPr>
      </w:pPr>
      <w:r>
        <w:rPr>
          <w:rFonts w:hint="eastAsia"/>
        </w:rPr>
        <w:t>聆訊前</w:t>
      </w:r>
      <w:r w:rsidR="009006F3">
        <w:rPr>
          <w:rFonts w:hint="eastAsia"/>
        </w:rPr>
        <w:t>代表</w:t>
      </w:r>
      <w:r w:rsidR="004164B2">
        <w:rPr>
          <w:rFonts w:hint="eastAsia"/>
        </w:rPr>
        <w:t>醫委會</w:t>
      </w:r>
      <w:r w:rsidR="009006F3">
        <w:rPr>
          <w:rFonts w:hint="eastAsia"/>
        </w:rPr>
        <w:t>秘書處的</w:t>
      </w:r>
      <w:r w:rsidR="00677FB7">
        <w:rPr>
          <w:rFonts w:hint="eastAsia"/>
        </w:rPr>
        <w:t>律政人員</w:t>
      </w:r>
      <w:r w:rsidR="004164B2">
        <w:rPr>
          <w:rFonts w:hint="eastAsia"/>
        </w:rPr>
        <w:t>再作修訂</w:t>
      </w:r>
      <w:r w:rsidR="009006F3">
        <w:rPr>
          <w:rFonts w:hint="eastAsia"/>
        </w:rPr>
        <w:t>的控罪──</w:t>
      </w:r>
      <w:r w:rsidR="004164B2">
        <w:rPr>
          <w:lang w:eastAsia="zh-HK"/>
        </w:rPr>
        <w:t>‘</w:t>
      </w:r>
      <w:r w:rsidR="004164B2">
        <w:rPr>
          <w:rFonts w:hint="eastAsia"/>
          <w:lang w:eastAsia="zh-HK"/>
        </w:rPr>
        <w:t>that from about 2007 to December 2008, you, being a registered medical practitioner, disregarded your professional responsibility to your patient CHOI Man Chiu (</w:t>
      </w:r>
      <w:r w:rsidR="004164B2">
        <w:rPr>
          <w:lang w:eastAsia="zh-HK"/>
        </w:rPr>
        <w:t>‘</w:t>
      </w:r>
      <w:r w:rsidR="004164B2">
        <w:rPr>
          <w:rFonts w:hint="eastAsia"/>
          <w:lang w:eastAsia="zh-HK"/>
        </w:rPr>
        <w:t>the Patient</w:t>
      </w:r>
      <w:r w:rsidR="004164B2">
        <w:rPr>
          <w:lang w:eastAsia="zh-HK"/>
        </w:rPr>
        <w:t>’</w:t>
      </w:r>
      <w:r w:rsidR="004164B2">
        <w:rPr>
          <w:rFonts w:hint="eastAsia"/>
          <w:lang w:eastAsia="zh-HK"/>
        </w:rPr>
        <w:t xml:space="preserve">), deceased, in that you failed to </w:t>
      </w:r>
      <w:r w:rsidR="004164B2" w:rsidRPr="004164B2">
        <w:rPr>
          <w:rFonts w:hint="eastAsia"/>
          <w:i/>
          <w:u w:val="single"/>
          <w:lang w:eastAsia="zh-HK"/>
        </w:rPr>
        <w:t>advise the Patient on the risks of, and/ or</w:t>
      </w:r>
      <w:r w:rsidR="004164B2">
        <w:rPr>
          <w:rFonts w:hint="eastAsia"/>
          <w:lang w:eastAsia="zh-HK"/>
        </w:rPr>
        <w:t xml:space="preserve"> give appropriate antiviral prophylaxis to the Patient to reduce the risks of Hepatitis B reactivation, severity of associated Hepatitis flares and/ or mortality, when managing the Patient as a known Hepatitis B carrier with </w:t>
      </w:r>
      <w:r w:rsidR="004164B2">
        <w:rPr>
          <w:lang w:eastAsia="zh-HK"/>
        </w:rPr>
        <w:t>steroid</w:t>
      </w:r>
      <w:r w:rsidR="004164B2">
        <w:rPr>
          <w:rFonts w:hint="eastAsia"/>
          <w:lang w:eastAsia="zh-HK"/>
        </w:rPr>
        <w:t xml:space="preserve"> </w:t>
      </w:r>
      <w:r w:rsidR="004164B2" w:rsidRPr="009006F3">
        <w:rPr>
          <w:rFonts w:hint="eastAsia"/>
          <w:u w:val="single"/>
          <w:lang w:eastAsia="zh-HK"/>
        </w:rPr>
        <w:t>and/ or</w:t>
      </w:r>
      <w:r w:rsidR="004164B2">
        <w:rPr>
          <w:rFonts w:hint="eastAsia"/>
          <w:lang w:eastAsia="zh-HK"/>
        </w:rPr>
        <w:t xml:space="preserve"> immunosuppressive treatment </w:t>
      </w:r>
      <w:r w:rsidR="004164B2" w:rsidRPr="009006F3">
        <w:rPr>
          <w:rFonts w:hint="eastAsia"/>
          <w:u w:val="single"/>
          <w:lang w:eastAsia="zh-HK"/>
        </w:rPr>
        <w:t>for his kidney disease</w:t>
      </w:r>
      <w:r w:rsidR="004164B2">
        <w:rPr>
          <w:lang w:eastAsia="zh-HK"/>
        </w:rPr>
        <w:t>’</w:t>
      </w:r>
    </w:p>
    <w:p w:rsidR="000C7AA8" w:rsidRDefault="000C7AA8">
      <w:pPr>
        <w:rPr>
          <w:lang w:eastAsia="zh-HK"/>
        </w:rPr>
      </w:pPr>
    </w:p>
    <w:p w:rsidR="009006F3" w:rsidRDefault="009006F3">
      <w:r>
        <w:rPr>
          <w:rFonts w:hint="eastAsia"/>
        </w:rPr>
        <w:t>醫委會聆訊裁判判詞指出：</w:t>
      </w:r>
    </w:p>
    <w:p w:rsidR="000C7AA8" w:rsidRDefault="000C7AA8" w:rsidP="009006F3">
      <w:pPr>
        <w:pStyle w:val="a5"/>
        <w:numPr>
          <w:ilvl w:val="0"/>
          <w:numId w:val="4"/>
        </w:numPr>
        <w:ind w:leftChars="0"/>
      </w:pPr>
      <w:r>
        <w:rPr>
          <w:rFonts w:hint="eastAsia"/>
        </w:rPr>
        <w:t>醫學界已於</w:t>
      </w:r>
      <w:r>
        <w:rPr>
          <w:rFonts w:hint="eastAsia"/>
        </w:rPr>
        <w:t>1999</w:t>
      </w:r>
      <w:r>
        <w:rPr>
          <w:rFonts w:hint="eastAsia"/>
        </w:rPr>
        <w:t>，</w:t>
      </w:r>
      <w:r>
        <w:rPr>
          <w:rFonts w:hint="eastAsia"/>
        </w:rPr>
        <w:t>2005</w:t>
      </w:r>
      <w:r>
        <w:rPr>
          <w:rFonts w:hint="eastAsia"/>
        </w:rPr>
        <w:t>，及</w:t>
      </w:r>
      <w:r>
        <w:rPr>
          <w:rFonts w:hint="eastAsia"/>
        </w:rPr>
        <w:t>2008</w:t>
      </w:r>
      <w:r>
        <w:rPr>
          <w:rFonts w:hint="eastAsia"/>
        </w:rPr>
        <w:t>年提出為乙肝病人處方免疫抑制劑之前，建議處方預防性抗病毒藥物。</w:t>
      </w:r>
    </w:p>
    <w:p w:rsidR="000C7AA8" w:rsidRPr="000C7AA8" w:rsidRDefault="000C7AA8">
      <w:pPr>
        <w:rPr>
          <w:lang w:eastAsia="zh-HK"/>
        </w:rPr>
      </w:pPr>
    </w:p>
    <w:p w:rsidR="004164B2" w:rsidRDefault="000C7AA8" w:rsidP="009006F3">
      <w:pPr>
        <w:pStyle w:val="a5"/>
        <w:numPr>
          <w:ilvl w:val="0"/>
          <w:numId w:val="4"/>
        </w:numPr>
        <w:ind w:leftChars="0"/>
      </w:pPr>
      <w:r>
        <w:rPr>
          <w:rFonts w:hint="eastAsia"/>
        </w:rPr>
        <w:t>黃醫生承認</w:t>
      </w:r>
      <w:r w:rsidR="00713408">
        <w:rPr>
          <w:rFonts w:hint="eastAsia"/>
        </w:rPr>
        <w:t>在治療死者的腎病時，已知他是乙肝病毒帶菌者，但處方類固醇和抑制免疫藥物時，</w:t>
      </w:r>
      <w:r>
        <w:rPr>
          <w:rFonts w:hint="eastAsia"/>
        </w:rPr>
        <w:t>沒有處方預防性抗病毒藥物，亦沒有建議病人</w:t>
      </w:r>
      <w:r w:rsidR="00713408">
        <w:rPr>
          <w:rFonts w:hint="eastAsia"/>
        </w:rPr>
        <w:t>處方或不處方預防性抗病毒藥物，在減少乙肝復發、急性肝炎、甚可能死亡等風險上的好處及壞處。</w:t>
      </w:r>
    </w:p>
    <w:p w:rsidR="00713408" w:rsidRPr="004E211D" w:rsidRDefault="00713408"/>
    <w:p w:rsidR="00713408" w:rsidRDefault="00713408" w:rsidP="009006F3">
      <w:pPr>
        <w:pStyle w:val="a5"/>
        <w:numPr>
          <w:ilvl w:val="0"/>
          <w:numId w:val="4"/>
        </w:numPr>
        <w:ind w:leftChars="0"/>
      </w:pPr>
      <w:r>
        <w:rPr>
          <w:rFonts w:hint="eastAsia"/>
        </w:rPr>
        <w:t>黃醫生時任腎科顧問醫生、</w:t>
      </w:r>
      <w:r w:rsidR="004E211D">
        <w:rPr>
          <w:rFonts w:hint="eastAsia"/>
        </w:rPr>
        <w:t>辯方專家、及控方專家，均指出事發時沒有任何</w:t>
      </w:r>
      <w:r w:rsidR="004E211D">
        <w:rPr>
          <w:rFonts w:hint="eastAsia"/>
        </w:rPr>
        <w:lastRenderedPageBreak/>
        <w:t>治療方案及指引，建議為治療腎病病人使用高劑量類固醇時，應處方預防性抗病毒藥物，而首份治療方案是在</w:t>
      </w:r>
      <w:r w:rsidR="004E211D">
        <w:rPr>
          <w:rFonts w:hint="eastAsia"/>
        </w:rPr>
        <w:t>2015</w:t>
      </w:r>
      <w:r w:rsidR="004E211D">
        <w:rPr>
          <w:rFonts w:hint="eastAsia"/>
        </w:rPr>
        <w:t>才引入。</w:t>
      </w:r>
      <w:r w:rsidR="005355AC">
        <w:rPr>
          <w:rStyle w:val="a8"/>
        </w:rPr>
        <w:footnoteReference w:id="1"/>
      </w:r>
    </w:p>
    <w:p w:rsidR="004E211D" w:rsidRDefault="004E211D"/>
    <w:p w:rsidR="004E211D" w:rsidRDefault="004E211D" w:rsidP="009006F3">
      <w:pPr>
        <w:pStyle w:val="a5"/>
        <w:numPr>
          <w:ilvl w:val="0"/>
          <w:numId w:val="4"/>
        </w:numPr>
        <w:ind w:leftChars="0"/>
      </w:pPr>
      <w:r>
        <w:rPr>
          <w:rFonts w:hint="eastAsia"/>
        </w:rPr>
        <w:t>醫委會認為黃醫生未有作出如此處方，及、或沒有讓死者</w:t>
      </w:r>
      <w:r w:rsidR="00614DB3">
        <w:rPr>
          <w:rFonts w:hint="eastAsia"/>
        </w:rPr>
        <w:t>知悉</w:t>
      </w:r>
      <w:r>
        <w:rPr>
          <w:rFonts w:hint="eastAsia"/>
        </w:rPr>
        <w:t>預防性抗病毒藥物在減少乙肝復發的風險上，並沒有</w:t>
      </w:r>
      <w:r w:rsidR="00954FEB">
        <w:rPr>
          <w:rFonts w:hint="eastAsia"/>
        </w:rPr>
        <w:t>低於註冊醫生應有水平。</w:t>
      </w:r>
    </w:p>
    <w:p w:rsidR="00954FEB" w:rsidRDefault="00954FEB"/>
    <w:p w:rsidR="00954FEB" w:rsidRDefault="00954FEB" w:rsidP="009006F3">
      <w:pPr>
        <w:pStyle w:val="a5"/>
        <w:numPr>
          <w:ilvl w:val="0"/>
          <w:numId w:val="4"/>
        </w:numPr>
        <w:ind w:leftChars="0"/>
      </w:pPr>
      <w:r>
        <w:rPr>
          <w:rFonts w:hint="eastAsia"/>
        </w:rPr>
        <w:t>醫委會宣認在考慮醫生在診斷、治療、及顧問角色上，仍採用</w:t>
      </w:r>
      <w:proofErr w:type="spellStart"/>
      <w:r w:rsidRPr="009006F3">
        <w:rPr>
          <w:rFonts w:hint="eastAsia"/>
          <w:i/>
          <w:lang w:eastAsia="zh-HK"/>
        </w:rPr>
        <w:t>Bolam</w:t>
      </w:r>
      <w:proofErr w:type="spellEnd"/>
      <w:r w:rsidRPr="009006F3">
        <w:rPr>
          <w:rFonts w:hint="eastAsia"/>
          <w:i/>
          <w:lang w:eastAsia="zh-HK"/>
        </w:rPr>
        <w:t xml:space="preserve"> Test</w:t>
      </w:r>
      <w:r>
        <w:rPr>
          <w:rFonts w:hint="eastAsia"/>
        </w:rPr>
        <w:t>原則，即黃醫生的行為操守，是否與他的腎科專科的同業一致；反而不會採用英國最高法院</w:t>
      </w:r>
      <w:r w:rsidR="0055338F">
        <w:rPr>
          <w:rFonts w:hint="eastAsia"/>
        </w:rPr>
        <w:t>近期</w:t>
      </w:r>
      <w:r>
        <w:rPr>
          <w:rFonts w:hint="eastAsia"/>
        </w:rPr>
        <w:t>的</w:t>
      </w:r>
      <w:r w:rsidR="00BE7394" w:rsidRPr="009006F3">
        <w:rPr>
          <w:rFonts w:hint="eastAsia"/>
          <w:i/>
          <w:lang w:eastAsia="zh-HK"/>
        </w:rPr>
        <w:t xml:space="preserve">Montgomery v </w:t>
      </w:r>
      <w:proofErr w:type="spellStart"/>
      <w:r w:rsidR="00BE7394" w:rsidRPr="009006F3">
        <w:rPr>
          <w:rFonts w:hint="eastAsia"/>
          <w:i/>
          <w:lang w:eastAsia="zh-HK"/>
        </w:rPr>
        <w:t>Lanarkshire</w:t>
      </w:r>
      <w:proofErr w:type="spellEnd"/>
      <w:r w:rsidR="00BE7394" w:rsidRPr="009006F3">
        <w:rPr>
          <w:rFonts w:hint="eastAsia"/>
          <w:i/>
          <w:lang w:eastAsia="zh-HK"/>
        </w:rPr>
        <w:t xml:space="preserve"> Health </w:t>
      </w:r>
      <w:r w:rsidR="00BE7394">
        <w:rPr>
          <w:rFonts w:hint="eastAsia"/>
          <w:lang w:eastAsia="zh-HK"/>
        </w:rPr>
        <w:t>Board</w:t>
      </w:r>
      <w:r w:rsidR="00BE7394">
        <w:rPr>
          <w:rFonts w:hint="eastAsia"/>
        </w:rPr>
        <w:t>案件</w:t>
      </w:r>
      <w:r w:rsidR="0055338F">
        <w:rPr>
          <w:rFonts w:hint="eastAsia"/>
        </w:rPr>
        <w:t>中</w:t>
      </w:r>
      <w:r w:rsidR="00BE7394">
        <w:rPr>
          <w:rFonts w:hint="eastAsia"/>
        </w:rPr>
        <w:t>的判決原則。</w:t>
      </w:r>
      <w:r w:rsidR="00BE7394">
        <w:rPr>
          <w:rStyle w:val="a8"/>
        </w:rPr>
        <w:footnoteReference w:id="2"/>
      </w:r>
    </w:p>
    <w:p w:rsidR="00BE7394" w:rsidRDefault="00BE7394"/>
    <w:p w:rsidR="00BE7394" w:rsidRDefault="00BE7394" w:rsidP="009006F3">
      <w:pPr>
        <w:pStyle w:val="a5"/>
        <w:numPr>
          <w:ilvl w:val="0"/>
          <w:numId w:val="4"/>
        </w:numPr>
        <w:ind w:leftChars="0"/>
      </w:pPr>
      <w:r>
        <w:rPr>
          <w:rFonts w:hint="eastAsia"/>
        </w:rPr>
        <w:t>醫委會同意時任顧問醫生指，醫學文獻</w:t>
      </w:r>
      <w:r w:rsidR="006A72D3">
        <w:rPr>
          <w:rFonts w:hint="eastAsia"/>
        </w:rPr>
        <w:t>只研究器官移植及化療病人在接受免疫抑制劑治療。醫委會未能由此推斷腎小球發炎的病人在接受高劑量類固醇治療時，能作出同樣建議，使用預防性抗病毒藥物。</w:t>
      </w:r>
    </w:p>
    <w:p w:rsidR="006A72D3" w:rsidRDefault="006A72D3"/>
    <w:p w:rsidR="006A72D3" w:rsidRDefault="006A72D3" w:rsidP="009006F3">
      <w:pPr>
        <w:pStyle w:val="a5"/>
        <w:numPr>
          <w:ilvl w:val="0"/>
          <w:numId w:val="4"/>
        </w:numPr>
        <w:ind w:leftChars="0"/>
      </w:pPr>
      <w:r>
        <w:rPr>
          <w:rFonts w:hint="eastAsia"/>
        </w:rPr>
        <w:t>醫委會又認為，即使有如此證據作出相關治療建議，在事發時也有其他腎科專科醫生認同黃浩聲醫生的行為，律政人員也未能指出這種認同實屬不合理或不負責任。</w:t>
      </w:r>
    </w:p>
    <w:p w:rsidR="006A72D3" w:rsidRDefault="006A72D3"/>
    <w:p w:rsidR="006A72D3" w:rsidRPr="004164B2" w:rsidRDefault="006A72D3" w:rsidP="009006F3">
      <w:pPr>
        <w:pStyle w:val="a5"/>
        <w:numPr>
          <w:ilvl w:val="0"/>
          <w:numId w:val="4"/>
        </w:numPr>
        <w:ind w:leftChars="0"/>
      </w:pPr>
      <w:r>
        <w:rPr>
          <w:rFonts w:hint="eastAsia"/>
        </w:rPr>
        <w:t>因此，醫委會未能總結出黃浩聲醫生</w:t>
      </w:r>
      <w:r w:rsidR="00426650">
        <w:rPr>
          <w:rFonts w:hint="eastAsia"/>
        </w:rPr>
        <w:t>沒有</w:t>
      </w:r>
      <w:r>
        <w:rPr>
          <w:rFonts w:hint="eastAsia"/>
        </w:rPr>
        <w:t>為死者提供合適的預防性抗病毒藥物，及、或</w:t>
      </w:r>
      <w:r w:rsidR="00426650">
        <w:rPr>
          <w:rFonts w:hint="eastAsia"/>
        </w:rPr>
        <w:t>讓病人知悉處方預防性抗病毒藥物，在減少乙肝復發風險上的好處及壞處，在事發時，並沒有和其他腎科專科同業的水平不一。黃醫生因而未有裁決為失德。</w:t>
      </w:r>
    </w:p>
    <w:p w:rsidR="00677FB7" w:rsidRPr="00954FEB" w:rsidRDefault="00677FB7">
      <w:pPr>
        <w:rPr>
          <w:lang w:eastAsia="zh-HK"/>
        </w:rPr>
      </w:pPr>
    </w:p>
    <w:p w:rsidR="00527925" w:rsidRDefault="0055338F">
      <w:r>
        <w:rPr>
          <w:rFonts w:hint="eastAsia"/>
        </w:rPr>
        <w:t>（三）</w:t>
      </w:r>
      <w:r w:rsidR="00527925">
        <w:rPr>
          <w:rFonts w:hint="eastAsia"/>
        </w:rPr>
        <w:t>質疑之處</w:t>
      </w:r>
    </w:p>
    <w:p w:rsidR="00E14F42" w:rsidRDefault="0055338F">
      <w:r>
        <w:rPr>
          <w:rFonts w:hint="eastAsia"/>
        </w:rPr>
        <w:t>就以上裁決理據，本會有以下質疑：</w:t>
      </w:r>
    </w:p>
    <w:p w:rsidR="0055338F" w:rsidRDefault="0055338F"/>
    <w:p w:rsidR="00015B56" w:rsidRDefault="0055338F" w:rsidP="00015B56">
      <w:pPr>
        <w:pStyle w:val="a5"/>
        <w:numPr>
          <w:ilvl w:val="0"/>
          <w:numId w:val="6"/>
        </w:numPr>
        <w:ind w:leftChars="0"/>
        <w:rPr>
          <w:lang w:eastAsia="zh-HK"/>
        </w:rPr>
      </w:pPr>
      <w:r>
        <w:rPr>
          <w:rFonts w:hint="eastAsia"/>
        </w:rPr>
        <w:t>有關擬定控罪──</w:t>
      </w:r>
      <w:r w:rsidR="004164B2">
        <w:rPr>
          <w:rFonts w:hint="eastAsia"/>
        </w:rPr>
        <w:t>原先</w:t>
      </w:r>
      <w:r>
        <w:rPr>
          <w:rFonts w:hint="eastAsia"/>
        </w:rPr>
        <w:t>投訴涉及</w:t>
      </w:r>
      <w:r w:rsidRPr="00015B56">
        <w:rPr>
          <w:rFonts w:asciiTheme="minorEastAsia" w:hAnsiTheme="minorEastAsia" w:hint="eastAsia"/>
        </w:rPr>
        <w:t>「</w:t>
      </w:r>
      <w:r>
        <w:rPr>
          <w:rFonts w:hint="eastAsia"/>
        </w:rPr>
        <w:t>專業水平</w:t>
      </w:r>
      <w:r w:rsidRPr="00015B56">
        <w:rPr>
          <w:rFonts w:asciiTheme="minorEastAsia" w:hAnsiTheme="minorEastAsia" w:hint="eastAsia"/>
        </w:rPr>
        <w:t>」</w:t>
      </w:r>
      <w:r>
        <w:rPr>
          <w:rFonts w:hint="eastAsia"/>
        </w:rPr>
        <w:t>和</w:t>
      </w:r>
      <w:r w:rsidRPr="00015B56">
        <w:rPr>
          <w:rFonts w:asciiTheme="minorEastAsia" w:hAnsiTheme="minorEastAsia" w:hint="eastAsia"/>
        </w:rPr>
        <w:t>「</w:t>
      </w:r>
      <w:r>
        <w:rPr>
          <w:rFonts w:hint="eastAsia"/>
        </w:rPr>
        <w:t>治療及風險解釋</w:t>
      </w:r>
      <w:r w:rsidRPr="00015B56">
        <w:rPr>
          <w:rFonts w:asciiTheme="minorEastAsia" w:hAnsiTheme="minorEastAsia" w:hint="eastAsia"/>
        </w:rPr>
        <w:t>」</w:t>
      </w:r>
      <w:r>
        <w:rPr>
          <w:rFonts w:hint="eastAsia"/>
        </w:rPr>
        <w:t>，</w:t>
      </w:r>
      <w:r w:rsidR="004164B2">
        <w:rPr>
          <w:rFonts w:hint="eastAsia"/>
        </w:rPr>
        <w:t>收窄至</w:t>
      </w:r>
      <w:r>
        <w:rPr>
          <w:rFonts w:hint="eastAsia"/>
        </w:rPr>
        <w:t>控罪中的</w:t>
      </w:r>
      <w:r w:rsidRPr="00015B56">
        <w:rPr>
          <w:rFonts w:asciiTheme="minorEastAsia" w:hAnsiTheme="minorEastAsia" w:hint="eastAsia"/>
        </w:rPr>
        <w:t>「</w:t>
      </w:r>
      <w:r w:rsidR="004164B2">
        <w:rPr>
          <w:rFonts w:hint="eastAsia"/>
        </w:rPr>
        <w:t>未有</w:t>
      </w:r>
      <w:r w:rsidR="000C7AA8">
        <w:rPr>
          <w:rFonts w:hint="eastAsia"/>
        </w:rPr>
        <w:t>處方預防性抗病毒藥物</w:t>
      </w:r>
      <w:r w:rsidRPr="00015B56">
        <w:rPr>
          <w:rFonts w:asciiTheme="minorEastAsia" w:hAnsiTheme="minorEastAsia" w:hint="eastAsia"/>
        </w:rPr>
        <w:t>」</w:t>
      </w:r>
      <w:r w:rsidR="004164B2">
        <w:rPr>
          <w:rFonts w:hint="eastAsia"/>
        </w:rPr>
        <w:t>，修訂控罪時進一步收窄至</w:t>
      </w:r>
      <w:r w:rsidRPr="00015B56">
        <w:rPr>
          <w:rFonts w:asciiTheme="minorEastAsia" w:hAnsiTheme="minorEastAsia" w:hint="eastAsia"/>
        </w:rPr>
        <w:t>「</w:t>
      </w:r>
      <w:r w:rsidR="000C7AA8">
        <w:rPr>
          <w:rFonts w:hint="eastAsia"/>
        </w:rPr>
        <w:t>處方預防性抗病毒藥物</w:t>
      </w:r>
      <w:r w:rsidR="004164B2">
        <w:rPr>
          <w:rFonts w:hint="eastAsia"/>
        </w:rPr>
        <w:t>作為</w:t>
      </w:r>
      <w:r w:rsidR="000C7AA8">
        <w:rPr>
          <w:rFonts w:hint="eastAsia"/>
        </w:rPr>
        <w:t>治療</w:t>
      </w:r>
      <w:r w:rsidR="004164B2">
        <w:rPr>
          <w:rFonts w:hint="eastAsia"/>
        </w:rPr>
        <w:t>腎科病人</w:t>
      </w:r>
      <w:r w:rsidRPr="00015B56">
        <w:rPr>
          <w:rFonts w:asciiTheme="minorEastAsia" w:hAnsiTheme="minorEastAsia" w:hint="eastAsia"/>
        </w:rPr>
        <w:t>」</w:t>
      </w:r>
      <w:r w:rsidR="004164B2">
        <w:rPr>
          <w:rFonts w:hint="eastAsia"/>
        </w:rPr>
        <w:t>。</w:t>
      </w:r>
      <w:r w:rsidR="000C7AA8">
        <w:rPr>
          <w:rFonts w:hint="eastAsia"/>
        </w:rPr>
        <w:t>聆訊前的修訂，補充了第二項投訴，但也只收窄在腎科專科範圍之下進行研訊。</w:t>
      </w:r>
      <w:r w:rsidR="00C06D96">
        <w:rPr>
          <w:rFonts w:hint="eastAsia"/>
        </w:rPr>
        <w:t>整個控罪忽視處理對使用免疫抑制劑（包括類固醇）時未有讓死者知悉有關風險，及藥物治療上的選擇（即投訴第二項）。</w:t>
      </w:r>
    </w:p>
    <w:p w:rsidR="00015B56" w:rsidRPr="00644371" w:rsidRDefault="00015B56" w:rsidP="00015B56">
      <w:pPr>
        <w:pStyle w:val="a5"/>
        <w:ind w:leftChars="0"/>
      </w:pPr>
      <w:r>
        <w:rPr>
          <w:rFonts w:hint="eastAsia"/>
        </w:rPr>
        <w:lastRenderedPageBreak/>
        <w:t>另外，</w:t>
      </w:r>
      <w:r w:rsidR="00644371">
        <w:rPr>
          <w:rFonts w:hint="eastAsia"/>
        </w:rPr>
        <w:t>單單以處方類固醇時</w:t>
      </w:r>
      <w:r w:rsidR="00C67A8D">
        <w:rPr>
          <w:rFonts w:hint="eastAsia"/>
        </w:rPr>
        <w:t>未有</w:t>
      </w:r>
      <w:r w:rsidR="00644371">
        <w:rPr>
          <w:rFonts w:hint="eastAsia"/>
        </w:rPr>
        <w:t>讓病人知悉</w:t>
      </w:r>
      <w:r w:rsidR="00C67A8D">
        <w:rPr>
          <w:rFonts w:hint="eastAsia"/>
        </w:rPr>
        <w:t>這種藥物的風險，已經可以被判失德。過去多年，均有類似案件</w:t>
      </w:r>
      <w:r w:rsidR="00AF0E47">
        <w:rPr>
          <w:rFonts w:hint="eastAsia"/>
        </w:rPr>
        <w:t>。</w:t>
      </w:r>
      <w:r w:rsidR="00C67A8D">
        <w:rPr>
          <w:rStyle w:val="a8"/>
        </w:rPr>
        <w:footnoteReference w:id="3"/>
      </w:r>
      <w:r w:rsidR="00AF0E47">
        <w:rPr>
          <w:rFonts w:hint="eastAsia"/>
        </w:rPr>
        <w:t>今次控罪及研訊，未有集中在處方類固醇時未有告知病人相關風險，已明顯違反醫生守則第</w:t>
      </w:r>
      <w:r w:rsidR="00AF0E47">
        <w:rPr>
          <w:rFonts w:hint="eastAsia"/>
        </w:rPr>
        <w:t>2.10.3</w:t>
      </w:r>
      <w:r w:rsidR="00AF0E47">
        <w:rPr>
          <w:rFonts w:hint="eastAsia"/>
        </w:rPr>
        <w:t>項，實應被判為失德。</w:t>
      </w:r>
      <w:r>
        <w:rPr>
          <w:rFonts w:hint="eastAsia"/>
        </w:rPr>
        <w:t>同時，整個擬定控罪的過程，沒有諮詢投訴人對控罪的意見，亦沒有通知聆訊詳情，及發出判決書等。</w:t>
      </w:r>
    </w:p>
    <w:p w:rsidR="00015B56" w:rsidRDefault="00015B56" w:rsidP="00015B56">
      <w:pPr>
        <w:pStyle w:val="a5"/>
      </w:pPr>
    </w:p>
    <w:p w:rsidR="00015B56" w:rsidRDefault="00015B56" w:rsidP="00015B56">
      <w:pPr>
        <w:pStyle w:val="a5"/>
        <w:numPr>
          <w:ilvl w:val="0"/>
          <w:numId w:val="6"/>
        </w:numPr>
        <w:ind w:leftChars="0"/>
      </w:pPr>
      <w:r>
        <w:rPr>
          <w:rFonts w:hint="eastAsia"/>
        </w:rPr>
        <w:t>有關研訊</w:t>
      </w:r>
      <w:r w:rsidR="00BE3212">
        <w:rPr>
          <w:rFonts w:hint="eastAsia"/>
        </w:rPr>
        <w:t>焦點</w:t>
      </w:r>
      <w:r>
        <w:rPr>
          <w:rFonts w:hint="eastAsia"/>
        </w:rPr>
        <w:t>──</w:t>
      </w:r>
      <w:r w:rsidR="00C06D96">
        <w:rPr>
          <w:rFonts w:hint="eastAsia"/>
        </w:rPr>
        <w:t>研訊期間，只集中</w:t>
      </w:r>
      <w:r w:rsidR="00644371">
        <w:rPr>
          <w:rFonts w:hint="eastAsia"/>
        </w:rPr>
        <w:t>研判</w:t>
      </w:r>
      <w:r w:rsidR="00C06D96">
        <w:rPr>
          <w:rFonts w:hint="eastAsia"/>
        </w:rPr>
        <w:t>控罪中</w:t>
      </w:r>
      <w:r w:rsidR="00644371" w:rsidRPr="00015B56">
        <w:rPr>
          <w:rFonts w:asciiTheme="minorEastAsia" w:hAnsiTheme="minorEastAsia" w:hint="eastAsia"/>
          <w:lang w:eastAsia="zh-HK"/>
        </w:rPr>
        <w:t>「</w:t>
      </w:r>
      <w:r w:rsidR="00C06D96">
        <w:rPr>
          <w:rFonts w:hint="eastAsia"/>
        </w:rPr>
        <w:t>未有處方預防性抗病毒藥物</w:t>
      </w:r>
      <w:r w:rsidR="00644371" w:rsidRPr="00015B56">
        <w:rPr>
          <w:rFonts w:asciiTheme="minorEastAsia" w:hAnsiTheme="minorEastAsia" w:hint="eastAsia"/>
        </w:rPr>
        <w:t>」</w:t>
      </w:r>
      <w:r w:rsidR="00C06D96">
        <w:rPr>
          <w:rFonts w:hint="eastAsia"/>
        </w:rPr>
        <w:t>一項，但沒有討論有否讓死者知悉處方預防性抗病毒藥物時涉及的風險</w:t>
      </w:r>
      <w:r w:rsidR="00644371">
        <w:rPr>
          <w:rFonts w:hint="eastAsia"/>
        </w:rPr>
        <w:t>。</w:t>
      </w:r>
    </w:p>
    <w:p w:rsidR="00015B56" w:rsidRDefault="00015B56" w:rsidP="00015B56">
      <w:pPr>
        <w:pStyle w:val="a5"/>
        <w:ind w:leftChars="0"/>
      </w:pPr>
    </w:p>
    <w:p w:rsidR="000C7AA8" w:rsidRDefault="00015B56" w:rsidP="00015B56">
      <w:pPr>
        <w:pStyle w:val="a5"/>
        <w:numPr>
          <w:ilvl w:val="0"/>
          <w:numId w:val="6"/>
        </w:numPr>
        <w:ind w:leftChars="0"/>
      </w:pPr>
      <w:r>
        <w:rPr>
          <w:rFonts w:hint="eastAsia"/>
        </w:rPr>
        <w:t>有關專家意見──</w:t>
      </w:r>
      <w:r w:rsidR="00426650">
        <w:rPr>
          <w:rFonts w:hint="eastAsia"/>
        </w:rPr>
        <w:t>專家意見</w:t>
      </w:r>
      <w:r>
        <w:rPr>
          <w:rFonts w:hint="eastAsia"/>
        </w:rPr>
        <w:t>未有</w:t>
      </w:r>
      <w:r w:rsidR="00614DB3">
        <w:rPr>
          <w:rFonts w:hint="eastAsia"/>
        </w:rPr>
        <w:t>說出所有相關事實</w:t>
      </w:r>
      <w:r>
        <w:rPr>
          <w:rFonts w:hint="eastAsia"/>
        </w:rPr>
        <w:t>。據悉</w:t>
      </w:r>
      <w:r w:rsidR="00614DB3">
        <w:rPr>
          <w:rFonts w:hint="eastAsia"/>
        </w:rPr>
        <w:t>，早於</w:t>
      </w:r>
      <w:r w:rsidR="00614DB3">
        <w:rPr>
          <w:rFonts w:hint="eastAsia"/>
        </w:rPr>
        <w:t>1990</w:t>
      </w:r>
      <w:r w:rsidR="00614DB3">
        <w:rPr>
          <w:rFonts w:hint="eastAsia"/>
        </w:rPr>
        <w:t>年，已有兩份</w:t>
      </w:r>
      <w:r w:rsidR="004210C6">
        <w:rPr>
          <w:rFonts w:hint="eastAsia"/>
        </w:rPr>
        <w:t>由本地及外國</w:t>
      </w:r>
      <w:r w:rsidR="00614DB3">
        <w:rPr>
          <w:rFonts w:hint="eastAsia"/>
        </w:rPr>
        <w:t>腎科專科</w:t>
      </w:r>
      <w:r w:rsidR="004210C6">
        <w:rPr>
          <w:rFonts w:hint="eastAsia"/>
        </w:rPr>
        <w:t>醫生撰寫的</w:t>
      </w:r>
      <w:r w:rsidR="00614DB3">
        <w:rPr>
          <w:rFonts w:hint="eastAsia"/>
        </w:rPr>
        <w:t>學術文獻</w:t>
      </w:r>
      <w:r w:rsidR="004210C6">
        <w:rPr>
          <w:rFonts w:hint="eastAsia"/>
        </w:rPr>
        <w:t>，</w:t>
      </w:r>
      <w:r w:rsidR="00614DB3">
        <w:rPr>
          <w:rFonts w:hint="eastAsia"/>
        </w:rPr>
        <w:t>提及使用類固醇治療腎炎時，可引起乙肝病毒復發。</w:t>
      </w:r>
      <w:r w:rsidR="004210C6">
        <w:rPr>
          <w:rStyle w:val="a8"/>
        </w:rPr>
        <w:footnoteReference w:id="4"/>
      </w:r>
      <w:r w:rsidR="00282B86">
        <w:rPr>
          <w:rFonts w:hint="eastAsia"/>
        </w:rPr>
        <w:t>2006</w:t>
      </w:r>
      <w:r w:rsidR="00282B86">
        <w:rPr>
          <w:rFonts w:hint="eastAsia"/>
        </w:rPr>
        <w:t>年，醫學界</w:t>
      </w:r>
      <w:r>
        <w:rPr>
          <w:rFonts w:hint="eastAsia"/>
        </w:rPr>
        <w:t>亦</w:t>
      </w:r>
      <w:r w:rsidR="00282B86">
        <w:rPr>
          <w:rFonts w:hint="eastAsia"/>
        </w:rPr>
        <w:t>已有類固醇的</w:t>
      </w:r>
      <w:r w:rsidR="005355AC">
        <w:rPr>
          <w:rFonts w:hint="eastAsia"/>
        </w:rPr>
        <w:t>臨床使用</w:t>
      </w:r>
      <w:r w:rsidR="00282B86">
        <w:rPr>
          <w:rFonts w:hint="eastAsia"/>
        </w:rPr>
        <w:t>指引</w:t>
      </w:r>
      <w:r w:rsidR="005355AC">
        <w:rPr>
          <w:rFonts w:hint="eastAsia"/>
        </w:rPr>
        <w:t>供醫生參考。</w:t>
      </w:r>
      <w:r w:rsidR="005355AC">
        <w:rPr>
          <w:rStyle w:val="a8"/>
        </w:rPr>
        <w:footnoteReference w:id="5"/>
      </w:r>
      <w:r>
        <w:rPr>
          <w:rFonts w:hint="eastAsia"/>
        </w:rPr>
        <w:t>不過專家未有在研訊期間提供這些資料，令研訊在不公正的情況下進行。</w:t>
      </w:r>
    </w:p>
    <w:p w:rsidR="004164B2" w:rsidRDefault="004164B2"/>
    <w:p w:rsidR="00015B56" w:rsidRDefault="00015B56">
      <w:r>
        <w:rPr>
          <w:rFonts w:hint="eastAsia"/>
        </w:rPr>
        <w:t>（四）跟進工作</w:t>
      </w:r>
    </w:p>
    <w:p w:rsidR="00B92632" w:rsidRDefault="00015B56">
      <w:r>
        <w:rPr>
          <w:rFonts w:hint="eastAsia"/>
        </w:rPr>
        <w:t>家屬</w:t>
      </w:r>
      <w:r w:rsidR="00852982">
        <w:rPr>
          <w:rFonts w:hint="eastAsia"/>
        </w:rPr>
        <w:t>已申請法律援助進行司法覆核，但因獲得醫管局賠償，未能通過經濟審查，而司法覆核的資助，未有包含於</w:t>
      </w:r>
      <w:r w:rsidR="00E14F42">
        <w:rPr>
          <w:rFonts w:hint="eastAsia"/>
        </w:rPr>
        <w:t>法援輔助計劃</w:t>
      </w:r>
      <w:r w:rsidR="00852982">
        <w:rPr>
          <w:rFonts w:hint="eastAsia"/>
        </w:rPr>
        <w:t>下。</w:t>
      </w:r>
      <w:r>
        <w:rPr>
          <w:rFonts w:hint="eastAsia"/>
        </w:rPr>
        <w:t>本會將</w:t>
      </w:r>
      <w:r w:rsidR="00852982">
        <w:rPr>
          <w:rFonts w:hint="eastAsia"/>
        </w:rPr>
        <w:t>嘗試以案件與公民權利及政治權利有關，希望</w:t>
      </w:r>
      <w:r>
        <w:rPr>
          <w:rFonts w:hint="eastAsia"/>
        </w:rPr>
        <w:t>游說</w:t>
      </w:r>
      <w:r w:rsidR="00852982">
        <w:rPr>
          <w:rFonts w:hint="eastAsia"/>
        </w:rPr>
        <w:t>法援署酌情豁免審核財務資源</w:t>
      </w:r>
      <w:r>
        <w:rPr>
          <w:rFonts w:hint="eastAsia"/>
        </w:rPr>
        <w:t>，以資助家屬進行司法覆核，重新審核醫委會對黃浩聲醫生裁定沒有失德的判決</w:t>
      </w:r>
      <w:r w:rsidR="00852982">
        <w:rPr>
          <w:rFonts w:hint="eastAsia"/>
        </w:rPr>
        <w:t>。</w:t>
      </w:r>
    </w:p>
    <w:p w:rsidR="00AB0A82" w:rsidRDefault="00AB0A82"/>
    <w:p w:rsidR="00AB0A82" w:rsidRDefault="00AB0A82">
      <w:r>
        <w:rPr>
          <w:rFonts w:hint="eastAsia"/>
        </w:rPr>
        <w:t>二零一七年五月十四日</w:t>
      </w:r>
    </w:p>
    <w:p w:rsidR="00AB0A82" w:rsidRPr="00B83E65" w:rsidRDefault="00AB0A82"/>
    <w:p w:rsidR="00B92632" w:rsidRDefault="00B92632">
      <w:pPr>
        <w:widowControl/>
      </w:pPr>
      <w:r>
        <w:br w:type="page"/>
      </w:r>
    </w:p>
    <w:p w:rsidR="00015B56" w:rsidRDefault="00015B56" w:rsidP="00015B56">
      <w:pPr>
        <w:widowControl/>
        <w:jc w:val="center"/>
      </w:pPr>
      <w:r>
        <w:rPr>
          <w:rFonts w:hint="eastAsia"/>
        </w:rPr>
        <w:lastRenderedPageBreak/>
        <w:t>附頁</w:t>
      </w:r>
    </w:p>
    <w:tbl>
      <w:tblPr>
        <w:tblStyle w:val="ad"/>
        <w:tblW w:w="8897" w:type="dxa"/>
        <w:tblLook w:val="04A0" w:firstRow="1" w:lastRow="0" w:firstColumn="1" w:lastColumn="0" w:noHBand="0" w:noVBand="1"/>
      </w:tblPr>
      <w:tblGrid>
        <w:gridCol w:w="2376"/>
        <w:gridCol w:w="6521"/>
      </w:tblGrid>
      <w:tr w:rsidR="00B92632" w:rsidTr="001D630B">
        <w:tc>
          <w:tcPr>
            <w:tcW w:w="2376" w:type="dxa"/>
          </w:tcPr>
          <w:p w:rsidR="00B92632" w:rsidRDefault="00B92632" w:rsidP="00FF2D6D">
            <w:pPr>
              <w:jc w:val="center"/>
            </w:pPr>
            <w:r>
              <w:rPr>
                <w:rFonts w:hint="eastAsia"/>
              </w:rPr>
              <w:t>日期</w:t>
            </w:r>
          </w:p>
        </w:tc>
        <w:tc>
          <w:tcPr>
            <w:tcW w:w="6521" w:type="dxa"/>
          </w:tcPr>
          <w:p w:rsidR="00B92632" w:rsidRDefault="00B92632" w:rsidP="00FF2D6D">
            <w:pPr>
              <w:jc w:val="center"/>
            </w:pPr>
            <w:r>
              <w:rPr>
                <w:rFonts w:hint="eastAsia"/>
              </w:rPr>
              <w:t>事發經過</w:t>
            </w:r>
          </w:p>
        </w:tc>
      </w:tr>
      <w:tr w:rsidR="00B92632" w:rsidTr="001D630B">
        <w:tc>
          <w:tcPr>
            <w:tcW w:w="2376" w:type="dxa"/>
          </w:tcPr>
          <w:p w:rsidR="00B92632" w:rsidRDefault="00B92632" w:rsidP="00B92632">
            <w:r>
              <w:rPr>
                <w:rFonts w:hint="eastAsia"/>
              </w:rPr>
              <w:t>2001</w:t>
            </w:r>
            <w:r>
              <w:rPr>
                <w:rFonts w:hint="eastAsia"/>
              </w:rPr>
              <w:t>年</w:t>
            </w:r>
            <w:r>
              <w:rPr>
                <w:rFonts w:hint="eastAsia"/>
              </w:rPr>
              <w:t>10</w:t>
            </w:r>
            <w:r>
              <w:rPr>
                <w:rFonts w:hint="eastAsia"/>
              </w:rPr>
              <w:t>月</w:t>
            </w:r>
            <w:r>
              <w:rPr>
                <w:rFonts w:hint="eastAsia"/>
              </w:rPr>
              <w:t>18</w:t>
            </w:r>
            <w:r>
              <w:rPr>
                <w:rFonts w:hint="eastAsia"/>
              </w:rPr>
              <w:t>日</w:t>
            </w:r>
          </w:p>
        </w:tc>
        <w:tc>
          <w:tcPr>
            <w:tcW w:w="6521" w:type="dxa"/>
          </w:tcPr>
          <w:p w:rsidR="00B92632" w:rsidRPr="00B92632" w:rsidRDefault="00B92632" w:rsidP="00FF2D6D">
            <w:r>
              <w:rPr>
                <w:rFonts w:hint="eastAsia"/>
              </w:rPr>
              <w:t>自小患有腎小球腎炎，一直於伊利沙伯醫院（伊院）覆診，曾多次病發，每次病發需服用類固醇治療，並有效減少炎症。由黃浩聲醫生主診直至</w:t>
            </w:r>
            <w:r>
              <w:rPr>
                <w:rFonts w:hint="eastAsia"/>
              </w:rPr>
              <w:t>2009</w:t>
            </w:r>
            <w:r>
              <w:rPr>
                <w:rFonts w:hint="eastAsia"/>
              </w:rPr>
              <w:t>年。</w:t>
            </w:r>
          </w:p>
        </w:tc>
      </w:tr>
      <w:tr w:rsidR="00FF2D6D" w:rsidTr="001D630B">
        <w:tc>
          <w:tcPr>
            <w:tcW w:w="2376" w:type="dxa"/>
          </w:tcPr>
          <w:p w:rsidR="00FF2D6D" w:rsidRDefault="00FF2D6D" w:rsidP="00B92632">
            <w:r>
              <w:rPr>
                <w:rFonts w:hint="eastAsia"/>
              </w:rPr>
              <w:t>2007</w:t>
            </w:r>
            <w:r>
              <w:rPr>
                <w:rFonts w:hint="eastAsia"/>
              </w:rPr>
              <w:t>年</w:t>
            </w:r>
            <w:r>
              <w:rPr>
                <w:rFonts w:hint="eastAsia"/>
              </w:rPr>
              <w:t>11</w:t>
            </w:r>
            <w:r>
              <w:rPr>
                <w:rFonts w:hint="eastAsia"/>
              </w:rPr>
              <w:t>月</w:t>
            </w:r>
            <w:r>
              <w:rPr>
                <w:rFonts w:hint="eastAsia"/>
              </w:rPr>
              <w:t>1</w:t>
            </w:r>
            <w:r>
              <w:rPr>
                <w:rFonts w:hint="eastAsia"/>
              </w:rPr>
              <w:t>日</w:t>
            </w:r>
          </w:p>
        </w:tc>
        <w:tc>
          <w:tcPr>
            <w:tcW w:w="6521" w:type="dxa"/>
          </w:tcPr>
          <w:p w:rsidR="00FF2D6D" w:rsidRPr="00FF2D6D" w:rsidRDefault="00FF2D6D" w:rsidP="00FF2D6D">
            <w:r>
              <w:rPr>
                <w:rFonts w:hint="eastAsia"/>
              </w:rPr>
              <w:t>因乙型肝炎帶菌，於伊院肝炎科覆診共三次，最後一次在</w:t>
            </w:r>
            <w:r>
              <w:rPr>
                <w:rFonts w:hint="eastAsia"/>
              </w:rPr>
              <w:t>2008</w:t>
            </w:r>
            <w:r>
              <w:rPr>
                <w:rFonts w:hint="eastAsia"/>
              </w:rPr>
              <w:t>年</w:t>
            </w:r>
            <w:r>
              <w:rPr>
                <w:rFonts w:hint="eastAsia"/>
              </w:rPr>
              <w:t>6</w:t>
            </w:r>
            <w:r>
              <w:rPr>
                <w:rFonts w:hint="eastAsia"/>
              </w:rPr>
              <w:t>月</w:t>
            </w:r>
            <w:r>
              <w:rPr>
                <w:rFonts w:hint="eastAsia"/>
              </w:rPr>
              <w:t>3</w:t>
            </w:r>
            <w:r>
              <w:rPr>
                <w:rFonts w:hint="eastAsia"/>
              </w:rPr>
              <w:t>日。</w:t>
            </w:r>
          </w:p>
        </w:tc>
      </w:tr>
      <w:tr w:rsidR="00FF2D6D" w:rsidTr="001D630B">
        <w:tc>
          <w:tcPr>
            <w:tcW w:w="2376" w:type="dxa"/>
          </w:tcPr>
          <w:p w:rsidR="00FF2D6D" w:rsidRDefault="00FF2D6D" w:rsidP="00B92632">
            <w:r>
              <w:rPr>
                <w:rFonts w:hint="eastAsia"/>
              </w:rPr>
              <w:t>2008</w:t>
            </w:r>
            <w:r>
              <w:rPr>
                <w:rFonts w:hint="eastAsia"/>
              </w:rPr>
              <w:t>年</w:t>
            </w:r>
            <w:r>
              <w:rPr>
                <w:rFonts w:hint="eastAsia"/>
              </w:rPr>
              <w:t>3</w:t>
            </w:r>
            <w:r>
              <w:rPr>
                <w:rFonts w:hint="eastAsia"/>
              </w:rPr>
              <w:t>月</w:t>
            </w:r>
            <w:r>
              <w:rPr>
                <w:rFonts w:hint="eastAsia"/>
              </w:rPr>
              <w:t>20</w:t>
            </w:r>
            <w:r>
              <w:rPr>
                <w:rFonts w:hint="eastAsia"/>
              </w:rPr>
              <w:t>日</w:t>
            </w:r>
          </w:p>
        </w:tc>
        <w:tc>
          <w:tcPr>
            <w:tcW w:w="6521" w:type="dxa"/>
          </w:tcPr>
          <w:p w:rsidR="00FF2D6D" w:rsidRDefault="00FF2D6D" w:rsidP="00FF2D6D">
            <w:r>
              <w:rPr>
                <w:rFonts w:hint="eastAsia"/>
              </w:rPr>
              <w:t>腎科覆診，腎科專科醫生因應病情，處方低劑量的類固醇</w:t>
            </w:r>
            <w:r>
              <w:rPr>
                <w:rFonts w:asciiTheme="minorEastAsia" w:hAnsiTheme="minorEastAsia" w:hint="eastAsia"/>
              </w:rPr>
              <w:t>「</w:t>
            </w:r>
            <w:r w:rsidRPr="00207FF4">
              <w:rPr>
                <w:rFonts w:hint="eastAsia"/>
              </w:rPr>
              <w:t>潑尼松龍</w:t>
            </w:r>
            <w:r>
              <w:rPr>
                <w:rFonts w:asciiTheme="minorEastAsia" w:hAnsiTheme="minorEastAsia" w:hint="eastAsia"/>
              </w:rPr>
              <w:t>」</w:t>
            </w:r>
            <w:r>
              <w:rPr>
                <w:rFonts w:hint="eastAsia"/>
              </w:rPr>
              <w:t>（</w:t>
            </w:r>
            <w:r>
              <w:rPr>
                <w:rFonts w:hint="eastAsia"/>
                <w:lang w:eastAsia="zh-HK"/>
              </w:rPr>
              <w:t xml:space="preserve">prednisolone </w:t>
            </w:r>
            <w:r>
              <w:rPr>
                <w:rFonts w:hint="eastAsia"/>
              </w:rPr>
              <w:t>每日</w:t>
            </w:r>
            <w:r>
              <w:rPr>
                <w:rFonts w:hint="eastAsia"/>
                <w:lang w:eastAsia="zh-HK"/>
              </w:rPr>
              <w:t>5mg</w:t>
            </w:r>
            <w:r>
              <w:rPr>
                <w:rFonts w:hint="eastAsia"/>
              </w:rPr>
              <w:t>）及抑制免疫藥物</w:t>
            </w:r>
            <w:r>
              <w:rPr>
                <w:rFonts w:asciiTheme="minorEastAsia" w:hAnsiTheme="minorEastAsia" w:hint="eastAsia"/>
              </w:rPr>
              <w:t>「</w:t>
            </w:r>
            <w:r w:rsidRPr="00207FF4">
              <w:rPr>
                <w:rFonts w:hint="eastAsia"/>
              </w:rPr>
              <w:t>硫唑嘌呤</w:t>
            </w:r>
            <w:r>
              <w:rPr>
                <w:rFonts w:asciiTheme="minorEastAsia" w:hAnsiTheme="minorEastAsia" w:hint="eastAsia"/>
              </w:rPr>
              <w:t>」</w:t>
            </w:r>
            <w:r>
              <w:rPr>
                <w:rFonts w:hint="eastAsia"/>
              </w:rPr>
              <w:t>（</w:t>
            </w:r>
            <w:r>
              <w:rPr>
                <w:rFonts w:hint="eastAsia"/>
                <w:lang w:eastAsia="zh-HK"/>
              </w:rPr>
              <w:t>azathioprine</w:t>
            </w:r>
            <w:r>
              <w:rPr>
                <w:rFonts w:hint="eastAsia"/>
              </w:rPr>
              <w:t>）每日</w:t>
            </w:r>
            <w:r>
              <w:rPr>
                <w:rFonts w:hint="eastAsia"/>
                <w:lang w:eastAsia="zh-HK"/>
              </w:rPr>
              <w:t>50mg</w:t>
            </w:r>
            <w:r>
              <w:rPr>
                <w:rFonts w:hint="eastAsia"/>
              </w:rPr>
              <w:t>，為期</w:t>
            </w:r>
            <w:r>
              <w:rPr>
                <w:rFonts w:hint="eastAsia"/>
              </w:rPr>
              <w:t>17</w:t>
            </w:r>
            <w:r>
              <w:rPr>
                <w:rFonts w:hint="eastAsia"/>
              </w:rPr>
              <w:t>星期。</w:t>
            </w:r>
          </w:p>
        </w:tc>
      </w:tr>
      <w:tr w:rsidR="00FF2D6D" w:rsidTr="001D630B">
        <w:tc>
          <w:tcPr>
            <w:tcW w:w="2376" w:type="dxa"/>
          </w:tcPr>
          <w:p w:rsidR="00FF2D6D" w:rsidRDefault="00FF2D6D" w:rsidP="00B92632">
            <w:r>
              <w:rPr>
                <w:rFonts w:hint="eastAsia"/>
              </w:rPr>
              <w:t>2008</w:t>
            </w:r>
            <w:r>
              <w:rPr>
                <w:rFonts w:hint="eastAsia"/>
              </w:rPr>
              <w:t>年</w:t>
            </w:r>
            <w:r>
              <w:rPr>
                <w:rFonts w:hint="eastAsia"/>
              </w:rPr>
              <w:t>7</w:t>
            </w:r>
            <w:r>
              <w:rPr>
                <w:rFonts w:hint="eastAsia"/>
              </w:rPr>
              <w:t>月</w:t>
            </w:r>
            <w:r>
              <w:rPr>
                <w:rFonts w:hint="eastAsia"/>
              </w:rPr>
              <w:t>17</w:t>
            </w:r>
            <w:r>
              <w:rPr>
                <w:rFonts w:hint="eastAsia"/>
              </w:rPr>
              <w:t>日</w:t>
            </w:r>
          </w:p>
        </w:tc>
        <w:tc>
          <w:tcPr>
            <w:tcW w:w="6521" w:type="dxa"/>
          </w:tcPr>
          <w:p w:rsidR="00FF2D6D" w:rsidRDefault="00FF2D6D" w:rsidP="00FF2D6D">
            <w:r>
              <w:rPr>
                <w:rFonts w:hint="eastAsia"/>
              </w:rPr>
              <w:t>腎科覆診，腎科專科醫生黃浩聲醫生處方同樣藥物及劑量，為期</w:t>
            </w:r>
            <w:r>
              <w:rPr>
                <w:rFonts w:hint="eastAsia"/>
              </w:rPr>
              <w:t>20</w:t>
            </w:r>
            <w:r>
              <w:rPr>
                <w:rFonts w:hint="eastAsia"/>
              </w:rPr>
              <w:t>星期。</w:t>
            </w:r>
          </w:p>
        </w:tc>
      </w:tr>
      <w:tr w:rsidR="00FF2D6D" w:rsidTr="001D630B">
        <w:tc>
          <w:tcPr>
            <w:tcW w:w="2376" w:type="dxa"/>
          </w:tcPr>
          <w:p w:rsidR="00FF2D6D" w:rsidRDefault="00FF2D6D" w:rsidP="00FF2D6D">
            <w:r>
              <w:rPr>
                <w:rFonts w:hint="eastAsia"/>
              </w:rPr>
              <w:t>2008</w:t>
            </w:r>
            <w:r>
              <w:rPr>
                <w:rFonts w:hint="eastAsia"/>
              </w:rPr>
              <w:t>年</w:t>
            </w:r>
            <w:r>
              <w:rPr>
                <w:rFonts w:hint="eastAsia"/>
              </w:rPr>
              <w:t>9</w:t>
            </w:r>
            <w:r>
              <w:rPr>
                <w:rFonts w:hint="eastAsia"/>
              </w:rPr>
              <w:t>月</w:t>
            </w:r>
            <w:r>
              <w:rPr>
                <w:rFonts w:hint="eastAsia"/>
              </w:rPr>
              <w:t>4</w:t>
            </w:r>
            <w:r>
              <w:rPr>
                <w:rFonts w:hint="eastAsia"/>
              </w:rPr>
              <w:t>日</w:t>
            </w:r>
          </w:p>
          <w:p w:rsidR="00FF2D6D" w:rsidRDefault="00FF2D6D" w:rsidP="00FF2D6D">
            <w:r>
              <w:rPr>
                <w:rFonts w:hint="eastAsia"/>
              </w:rPr>
              <w:t>2008</w:t>
            </w:r>
            <w:r>
              <w:rPr>
                <w:rFonts w:hint="eastAsia"/>
              </w:rPr>
              <w:t>年</w:t>
            </w:r>
            <w:r>
              <w:rPr>
                <w:rFonts w:hint="eastAsia"/>
              </w:rPr>
              <w:t xml:space="preserve">10 </w:t>
            </w:r>
            <w:r>
              <w:rPr>
                <w:rFonts w:hint="eastAsia"/>
              </w:rPr>
              <w:t>月</w:t>
            </w:r>
            <w:r>
              <w:rPr>
                <w:rFonts w:hint="eastAsia"/>
              </w:rPr>
              <w:t>23</w:t>
            </w:r>
            <w:r>
              <w:rPr>
                <w:rFonts w:hint="eastAsia"/>
              </w:rPr>
              <w:t>日</w:t>
            </w:r>
            <w:r>
              <w:rPr>
                <w:rFonts w:hint="eastAsia"/>
              </w:rPr>
              <w:t>2008</w:t>
            </w:r>
            <w:r>
              <w:rPr>
                <w:rFonts w:hint="eastAsia"/>
              </w:rPr>
              <w:t>年</w:t>
            </w:r>
            <w:r>
              <w:rPr>
                <w:rFonts w:hint="eastAsia"/>
              </w:rPr>
              <w:t>12</w:t>
            </w:r>
            <w:r>
              <w:rPr>
                <w:rFonts w:hint="eastAsia"/>
              </w:rPr>
              <w:t>月</w:t>
            </w:r>
            <w:r>
              <w:rPr>
                <w:rFonts w:hint="eastAsia"/>
              </w:rPr>
              <w:t>11</w:t>
            </w:r>
            <w:r>
              <w:rPr>
                <w:rFonts w:hint="eastAsia"/>
              </w:rPr>
              <w:t>日</w:t>
            </w:r>
          </w:p>
        </w:tc>
        <w:tc>
          <w:tcPr>
            <w:tcW w:w="6521" w:type="dxa"/>
          </w:tcPr>
          <w:p w:rsidR="00FF2D6D" w:rsidRDefault="00FF2D6D" w:rsidP="00FF2D6D">
            <w:r>
              <w:rPr>
                <w:rFonts w:hint="eastAsia"/>
              </w:rPr>
              <w:t>三次腎科覆診，黃浩聲醫生提高類固醇藥物劑量，至每日</w:t>
            </w:r>
            <w:r>
              <w:rPr>
                <w:rFonts w:hint="eastAsia"/>
              </w:rPr>
              <w:t>10</w:t>
            </w:r>
            <w:r>
              <w:rPr>
                <w:rFonts w:hint="eastAsia"/>
                <w:lang w:eastAsia="zh-HK"/>
              </w:rPr>
              <w:t>mg</w:t>
            </w:r>
            <w:r>
              <w:rPr>
                <w:rFonts w:hint="eastAsia"/>
              </w:rPr>
              <w:t>至</w:t>
            </w:r>
            <w:r>
              <w:rPr>
                <w:rFonts w:hint="eastAsia"/>
              </w:rPr>
              <w:t>30</w:t>
            </w:r>
            <w:r>
              <w:rPr>
                <w:rFonts w:hint="eastAsia"/>
                <w:lang w:eastAsia="zh-HK"/>
              </w:rPr>
              <w:t>mg</w:t>
            </w:r>
            <w:r>
              <w:rPr>
                <w:rFonts w:hint="eastAsia"/>
              </w:rPr>
              <w:t>不等，有</w:t>
            </w:r>
            <w:r>
              <w:rPr>
                <w:rFonts w:hint="eastAsia"/>
              </w:rPr>
              <w:t>5</w:t>
            </w:r>
            <w:r>
              <w:rPr>
                <w:rFonts w:hint="eastAsia"/>
              </w:rPr>
              <w:t>星期連續服用劑量達</w:t>
            </w:r>
            <w:r>
              <w:rPr>
                <w:rFonts w:hint="eastAsia"/>
              </w:rPr>
              <w:t>20</w:t>
            </w:r>
            <w:r>
              <w:rPr>
                <w:rFonts w:hint="eastAsia"/>
                <w:lang w:eastAsia="zh-HK"/>
              </w:rPr>
              <w:t>mg</w:t>
            </w:r>
            <w:r>
              <w:rPr>
                <w:rFonts w:hint="eastAsia"/>
              </w:rPr>
              <w:t>，亦有</w:t>
            </w:r>
            <w:r>
              <w:rPr>
                <w:rFonts w:hint="eastAsia"/>
              </w:rPr>
              <w:t>4</w:t>
            </w:r>
            <w:r>
              <w:rPr>
                <w:rFonts w:hint="eastAsia"/>
              </w:rPr>
              <w:t>星期連續服用劑量達</w:t>
            </w:r>
            <w:r>
              <w:rPr>
                <w:rFonts w:hint="eastAsia"/>
              </w:rPr>
              <w:t>30</w:t>
            </w:r>
            <w:r>
              <w:rPr>
                <w:rFonts w:hint="eastAsia"/>
                <w:lang w:eastAsia="zh-HK"/>
              </w:rPr>
              <w:t>mg</w:t>
            </w:r>
            <w:r>
              <w:rPr>
                <w:rFonts w:hint="eastAsia"/>
              </w:rPr>
              <w:t>。</w:t>
            </w:r>
          </w:p>
        </w:tc>
      </w:tr>
      <w:tr w:rsidR="00FF2D6D" w:rsidTr="001D630B">
        <w:tc>
          <w:tcPr>
            <w:tcW w:w="2376" w:type="dxa"/>
          </w:tcPr>
          <w:p w:rsidR="00FF2D6D" w:rsidRPr="00FF2D6D" w:rsidRDefault="00FF2D6D" w:rsidP="00FF2D6D">
            <w:r>
              <w:rPr>
                <w:rFonts w:hint="eastAsia"/>
              </w:rPr>
              <w:t>2009</w:t>
            </w:r>
            <w:r>
              <w:rPr>
                <w:rFonts w:hint="eastAsia"/>
              </w:rPr>
              <w:t>年</w:t>
            </w:r>
            <w:r>
              <w:rPr>
                <w:rFonts w:hint="eastAsia"/>
              </w:rPr>
              <w:t>1</w:t>
            </w:r>
            <w:r>
              <w:rPr>
                <w:rFonts w:hint="eastAsia"/>
              </w:rPr>
              <w:t>月</w:t>
            </w:r>
            <w:r>
              <w:rPr>
                <w:rFonts w:hint="eastAsia"/>
              </w:rPr>
              <w:t>13</w:t>
            </w:r>
            <w:r>
              <w:rPr>
                <w:rFonts w:hint="eastAsia"/>
              </w:rPr>
              <w:t>日</w:t>
            </w:r>
          </w:p>
        </w:tc>
        <w:tc>
          <w:tcPr>
            <w:tcW w:w="6521" w:type="dxa"/>
          </w:tcPr>
          <w:p w:rsidR="00FF2D6D" w:rsidRDefault="00FF2D6D" w:rsidP="00FF2D6D">
            <w:r>
              <w:rPr>
                <w:rFonts w:hint="eastAsia"/>
              </w:rPr>
              <w:t>腎科覆診，黃浩聲醫生發現時驗血報告指肝功能異常，因而諮詢腸胃科意見，獲建議降低類固醇劑量及處方抗乙肝病毒藥物（</w:t>
            </w:r>
            <w:r>
              <w:rPr>
                <w:rFonts w:hint="eastAsia"/>
                <w:lang w:eastAsia="zh-HK"/>
              </w:rPr>
              <w:t>Lamivudine</w:t>
            </w:r>
            <w:r>
              <w:rPr>
                <w:rFonts w:hint="eastAsia"/>
              </w:rPr>
              <w:t>）。</w:t>
            </w:r>
          </w:p>
        </w:tc>
      </w:tr>
      <w:tr w:rsidR="00FF2D6D" w:rsidTr="001D630B">
        <w:tc>
          <w:tcPr>
            <w:tcW w:w="2376" w:type="dxa"/>
          </w:tcPr>
          <w:p w:rsidR="00FF2D6D" w:rsidRDefault="00FF2D6D" w:rsidP="00FF2D6D">
            <w:r>
              <w:rPr>
                <w:rFonts w:hint="eastAsia"/>
              </w:rPr>
              <w:t>2009</w:t>
            </w:r>
            <w:r>
              <w:rPr>
                <w:rFonts w:hint="eastAsia"/>
              </w:rPr>
              <w:t>年</w:t>
            </w:r>
            <w:r>
              <w:rPr>
                <w:rFonts w:hint="eastAsia"/>
              </w:rPr>
              <w:t>1</w:t>
            </w:r>
            <w:r>
              <w:rPr>
                <w:rFonts w:hint="eastAsia"/>
              </w:rPr>
              <w:t>月</w:t>
            </w:r>
            <w:r>
              <w:rPr>
                <w:rFonts w:hint="eastAsia"/>
              </w:rPr>
              <w:t>15</w:t>
            </w:r>
            <w:r>
              <w:rPr>
                <w:rFonts w:hint="eastAsia"/>
              </w:rPr>
              <w:t>日</w:t>
            </w:r>
          </w:p>
        </w:tc>
        <w:tc>
          <w:tcPr>
            <w:tcW w:w="6521" w:type="dxa"/>
          </w:tcPr>
          <w:p w:rsidR="00FF2D6D" w:rsidRDefault="00FF2D6D" w:rsidP="00FF2D6D">
            <w:r>
              <w:rPr>
                <w:rFonts w:hint="eastAsia"/>
              </w:rPr>
              <w:t>黃浩聲醫生認為可能是乙型肝炎復發，因而停止抑制免疫藥物，及調低類固醇劑量由每日</w:t>
            </w:r>
            <w:r>
              <w:rPr>
                <w:rFonts w:hint="eastAsia"/>
              </w:rPr>
              <w:t>25</w:t>
            </w:r>
            <w:r>
              <w:rPr>
                <w:rFonts w:hint="eastAsia"/>
                <w:lang w:eastAsia="zh-HK"/>
              </w:rPr>
              <w:t>mg</w:t>
            </w:r>
            <w:r>
              <w:rPr>
                <w:rFonts w:hint="eastAsia"/>
              </w:rPr>
              <w:t>至</w:t>
            </w:r>
            <w:r>
              <w:rPr>
                <w:rFonts w:hint="eastAsia"/>
              </w:rPr>
              <w:t>20</w:t>
            </w:r>
            <w:r>
              <w:rPr>
                <w:rFonts w:hint="eastAsia"/>
                <w:lang w:eastAsia="zh-HK"/>
              </w:rPr>
              <w:t>mg</w:t>
            </w:r>
            <w:r>
              <w:rPr>
                <w:rFonts w:hint="eastAsia"/>
              </w:rPr>
              <w:t>。</w:t>
            </w:r>
          </w:p>
        </w:tc>
      </w:tr>
      <w:tr w:rsidR="00FF2D6D" w:rsidTr="001D630B">
        <w:tc>
          <w:tcPr>
            <w:tcW w:w="2376" w:type="dxa"/>
          </w:tcPr>
          <w:p w:rsidR="00FF2D6D" w:rsidRDefault="00FF2D6D" w:rsidP="00FF2D6D">
            <w:r>
              <w:rPr>
                <w:rFonts w:hint="eastAsia"/>
              </w:rPr>
              <w:t>2009</w:t>
            </w:r>
            <w:r>
              <w:rPr>
                <w:rFonts w:hint="eastAsia"/>
              </w:rPr>
              <w:t>年</w:t>
            </w:r>
            <w:r>
              <w:rPr>
                <w:rFonts w:hint="eastAsia"/>
              </w:rPr>
              <w:t>1</w:t>
            </w:r>
            <w:r>
              <w:rPr>
                <w:rFonts w:hint="eastAsia"/>
              </w:rPr>
              <w:t>月</w:t>
            </w:r>
            <w:r>
              <w:rPr>
                <w:rFonts w:hint="eastAsia"/>
              </w:rPr>
              <w:t>19</w:t>
            </w:r>
            <w:r>
              <w:rPr>
                <w:rFonts w:hint="eastAsia"/>
              </w:rPr>
              <w:t>日</w:t>
            </w:r>
          </w:p>
        </w:tc>
        <w:tc>
          <w:tcPr>
            <w:tcW w:w="6521" w:type="dxa"/>
          </w:tcPr>
          <w:p w:rsidR="00FF2D6D" w:rsidRDefault="00FF2D6D" w:rsidP="00FF2D6D">
            <w:r>
              <w:rPr>
                <w:rFonts w:hint="eastAsia"/>
              </w:rPr>
              <w:t>入院接受肝功能監察及藥物治療。驗血報告顯示乙肝病毒極度活躍。服用的抗乙肝病毒藥物由拉米夫定（</w:t>
            </w:r>
            <w:r>
              <w:rPr>
                <w:rFonts w:hint="eastAsia"/>
                <w:lang w:eastAsia="zh-HK"/>
              </w:rPr>
              <w:t>Lamivudine</w:t>
            </w:r>
            <w:r>
              <w:rPr>
                <w:rFonts w:hint="eastAsia"/>
              </w:rPr>
              <w:t>）轉為較新的恩替卡偉（</w:t>
            </w:r>
            <w:proofErr w:type="spellStart"/>
            <w:r>
              <w:rPr>
                <w:rFonts w:hint="eastAsia"/>
                <w:lang w:eastAsia="zh-HK"/>
              </w:rPr>
              <w:t>Entecavir</w:t>
            </w:r>
            <w:proofErr w:type="spellEnd"/>
            <w:r>
              <w:rPr>
                <w:rFonts w:hint="eastAsia"/>
              </w:rPr>
              <w:t>），類固醇劑量維持每日</w:t>
            </w:r>
            <w:r>
              <w:rPr>
                <w:rFonts w:hint="eastAsia"/>
              </w:rPr>
              <w:t>20</w:t>
            </w:r>
            <w:r>
              <w:rPr>
                <w:rFonts w:hint="eastAsia"/>
                <w:lang w:eastAsia="zh-HK"/>
              </w:rPr>
              <w:t>mg</w:t>
            </w:r>
            <w:r>
              <w:rPr>
                <w:rFonts w:hint="eastAsia"/>
              </w:rPr>
              <w:t>。</w:t>
            </w:r>
            <w:r>
              <w:rPr>
                <w:rFonts w:hint="eastAsia"/>
              </w:rPr>
              <w:t>2009</w:t>
            </w:r>
            <w:r>
              <w:rPr>
                <w:rFonts w:hint="eastAsia"/>
              </w:rPr>
              <w:t>年</w:t>
            </w:r>
            <w:r>
              <w:rPr>
                <w:rFonts w:hint="eastAsia"/>
              </w:rPr>
              <w:t>1</w:t>
            </w:r>
            <w:r>
              <w:rPr>
                <w:rFonts w:hint="eastAsia"/>
              </w:rPr>
              <w:t>月</w:t>
            </w:r>
            <w:r>
              <w:rPr>
                <w:rFonts w:hint="eastAsia"/>
              </w:rPr>
              <w:t>21</w:t>
            </w:r>
            <w:r>
              <w:rPr>
                <w:rFonts w:hint="eastAsia"/>
              </w:rPr>
              <w:t>日出院</w:t>
            </w:r>
          </w:p>
        </w:tc>
      </w:tr>
      <w:tr w:rsidR="00FF2D6D" w:rsidTr="001D630B">
        <w:tc>
          <w:tcPr>
            <w:tcW w:w="2376" w:type="dxa"/>
          </w:tcPr>
          <w:p w:rsidR="00FF2D6D" w:rsidRDefault="00FF2D6D" w:rsidP="00FF2D6D">
            <w:r>
              <w:rPr>
                <w:rFonts w:hint="eastAsia"/>
              </w:rPr>
              <w:t>2009</w:t>
            </w:r>
            <w:r>
              <w:rPr>
                <w:rFonts w:hint="eastAsia"/>
              </w:rPr>
              <w:t>年</w:t>
            </w:r>
            <w:r>
              <w:rPr>
                <w:rFonts w:hint="eastAsia"/>
              </w:rPr>
              <w:t>1</w:t>
            </w:r>
            <w:r>
              <w:rPr>
                <w:rFonts w:hint="eastAsia"/>
              </w:rPr>
              <w:t>月</w:t>
            </w:r>
            <w:r>
              <w:rPr>
                <w:rFonts w:hint="eastAsia"/>
              </w:rPr>
              <w:t>29</w:t>
            </w:r>
            <w:r>
              <w:rPr>
                <w:rFonts w:hint="eastAsia"/>
              </w:rPr>
              <w:t>日</w:t>
            </w:r>
          </w:p>
        </w:tc>
        <w:tc>
          <w:tcPr>
            <w:tcW w:w="6521" w:type="dxa"/>
          </w:tcPr>
          <w:p w:rsidR="00FF2D6D" w:rsidRDefault="00FF2D6D" w:rsidP="00FF2D6D">
            <w:r>
              <w:rPr>
                <w:rFonts w:hint="eastAsia"/>
              </w:rPr>
              <w:t>再次入院。驗血報告顯示肝功能轉差。類固醇再減至每日</w:t>
            </w:r>
            <w:r>
              <w:rPr>
                <w:rFonts w:hint="eastAsia"/>
                <w:lang w:eastAsia="zh-HK"/>
              </w:rPr>
              <w:t>15mg</w:t>
            </w:r>
            <w:r>
              <w:rPr>
                <w:rFonts w:hint="eastAsia"/>
              </w:rPr>
              <w:t>。病情繼續轉差，直至</w:t>
            </w:r>
            <w:r>
              <w:rPr>
                <w:rFonts w:hint="eastAsia"/>
              </w:rPr>
              <w:t>2009</w:t>
            </w:r>
            <w:r>
              <w:rPr>
                <w:rFonts w:hint="eastAsia"/>
              </w:rPr>
              <w:t>年</w:t>
            </w:r>
            <w:r>
              <w:rPr>
                <w:rFonts w:hint="eastAsia"/>
              </w:rPr>
              <w:t>2</w:t>
            </w:r>
            <w:r>
              <w:rPr>
                <w:rFonts w:hint="eastAsia"/>
              </w:rPr>
              <w:t>月</w:t>
            </w:r>
            <w:r>
              <w:rPr>
                <w:rFonts w:hint="eastAsia"/>
              </w:rPr>
              <w:t>15</w:t>
            </w:r>
            <w:r>
              <w:rPr>
                <w:rFonts w:hint="eastAsia"/>
              </w:rPr>
              <w:t>日轉至瑪麗醫院等候換肝，其後出現肝因性腦病變及腎衰竭，延至</w:t>
            </w:r>
            <w:r>
              <w:rPr>
                <w:rFonts w:hint="eastAsia"/>
              </w:rPr>
              <w:t>2009</w:t>
            </w:r>
            <w:r>
              <w:rPr>
                <w:rFonts w:hint="eastAsia"/>
              </w:rPr>
              <w:t>年</w:t>
            </w:r>
            <w:r>
              <w:rPr>
                <w:rFonts w:hint="eastAsia"/>
              </w:rPr>
              <w:t>2</w:t>
            </w:r>
            <w:r>
              <w:rPr>
                <w:rFonts w:hint="eastAsia"/>
              </w:rPr>
              <w:t>月</w:t>
            </w:r>
            <w:r>
              <w:rPr>
                <w:rFonts w:hint="eastAsia"/>
              </w:rPr>
              <w:t>28</w:t>
            </w:r>
            <w:r>
              <w:rPr>
                <w:rFonts w:hint="eastAsia"/>
              </w:rPr>
              <w:t>日身故。</w:t>
            </w:r>
          </w:p>
        </w:tc>
      </w:tr>
      <w:tr w:rsidR="00FF2D6D" w:rsidTr="001D630B">
        <w:tc>
          <w:tcPr>
            <w:tcW w:w="2376" w:type="dxa"/>
          </w:tcPr>
          <w:p w:rsidR="00FF2D6D" w:rsidRDefault="00FF2D6D" w:rsidP="00FF2D6D">
            <w:r>
              <w:rPr>
                <w:rFonts w:hint="eastAsia"/>
              </w:rPr>
              <w:t>2012</w:t>
            </w:r>
            <w:r>
              <w:rPr>
                <w:rFonts w:hint="eastAsia"/>
              </w:rPr>
              <w:t>年</w:t>
            </w:r>
            <w:r>
              <w:rPr>
                <w:rFonts w:hint="eastAsia"/>
              </w:rPr>
              <w:t>2</w:t>
            </w:r>
            <w:r>
              <w:rPr>
                <w:rFonts w:hint="eastAsia"/>
              </w:rPr>
              <w:t>月</w:t>
            </w:r>
            <w:r>
              <w:rPr>
                <w:rFonts w:hint="eastAsia"/>
              </w:rPr>
              <w:t>18</w:t>
            </w:r>
            <w:r>
              <w:rPr>
                <w:rFonts w:hint="eastAsia"/>
              </w:rPr>
              <w:t>日</w:t>
            </w:r>
          </w:p>
        </w:tc>
        <w:tc>
          <w:tcPr>
            <w:tcW w:w="6521" w:type="dxa"/>
          </w:tcPr>
          <w:p w:rsidR="00FF2D6D" w:rsidRDefault="00FF2D6D" w:rsidP="00FF2D6D">
            <w:r>
              <w:rPr>
                <w:rFonts w:hint="eastAsia"/>
              </w:rPr>
              <w:t>向醫管局追討醫療疏忽的民事責任賠償。</w:t>
            </w:r>
          </w:p>
        </w:tc>
      </w:tr>
      <w:tr w:rsidR="00FF2D6D" w:rsidTr="001D630B">
        <w:tc>
          <w:tcPr>
            <w:tcW w:w="2376" w:type="dxa"/>
          </w:tcPr>
          <w:p w:rsidR="00FF2D6D" w:rsidRDefault="00FF2D6D" w:rsidP="00FF2D6D">
            <w:r>
              <w:rPr>
                <w:rFonts w:hint="eastAsia"/>
              </w:rPr>
              <w:t>2012</w:t>
            </w:r>
            <w:r>
              <w:rPr>
                <w:rFonts w:hint="eastAsia"/>
              </w:rPr>
              <w:t>年</w:t>
            </w:r>
            <w:r>
              <w:rPr>
                <w:rFonts w:hint="eastAsia"/>
              </w:rPr>
              <w:t>5</w:t>
            </w:r>
            <w:r>
              <w:rPr>
                <w:rFonts w:hint="eastAsia"/>
              </w:rPr>
              <w:t>月</w:t>
            </w:r>
            <w:r>
              <w:rPr>
                <w:rFonts w:hint="eastAsia"/>
              </w:rPr>
              <w:t>28</w:t>
            </w:r>
            <w:r>
              <w:rPr>
                <w:rFonts w:hint="eastAsia"/>
              </w:rPr>
              <w:t>日</w:t>
            </w:r>
          </w:p>
        </w:tc>
        <w:tc>
          <w:tcPr>
            <w:tcW w:w="6521" w:type="dxa"/>
          </w:tcPr>
          <w:p w:rsidR="00FF2D6D" w:rsidRDefault="00FF2D6D" w:rsidP="00FF2D6D">
            <w:r>
              <w:rPr>
                <w:rFonts w:hint="eastAsia"/>
              </w:rPr>
              <w:t>向醫委會投訴黃浩聲醫生失德。</w:t>
            </w:r>
          </w:p>
        </w:tc>
      </w:tr>
      <w:tr w:rsidR="00FF2D6D" w:rsidTr="001D630B">
        <w:tc>
          <w:tcPr>
            <w:tcW w:w="2376" w:type="dxa"/>
          </w:tcPr>
          <w:p w:rsidR="00FF2D6D" w:rsidRDefault="00FF2D6D" w:rsidP="00FF2D6D">
            <w:r>
              <w:rPr>
                <w:rFonts w:hint="eastAsia"/>
              </w:rPr>
              <w:t>2012</w:t>
            </w:r>
            <w:r>
              <w:rPr>
                <w:rFonts w:hint="eastAsia"/>
              </w:rPr>
              <w:t>年</w:t>
            </w:r>
            <w:r>
              <w:rPr>
                <w:rFonts w:hint="eastAsia"/>
              </w:rPr>
              <w:t>5</w:t>
            </w:r>
            <w:r>
              <w:rPr>
                <w:rFonts w:hint="eastAsia"/>
              </w:rPr>
              <w:t>月</w:t>
            </w:r>
            <w:r>
              <w:rPr>
                <w:rFonts w:hint="eastAsia"/>
              </w:rPr>
              <w:t>29</w:t>
            </w:r>
            <w:r>
              <w:rPr>
                <w:rFonts w:hint="eastAsia"/>
              </w:rPr>
              <w:t>日</w:t>
            </w:r>
          </w:p>
        </w:tc>
        <w:tc>
          <w:tcPr>
            <w:tcW w:w="6521" w:type="dxa"/>
          </w:tcPr>
          <w:p w:rsidR="00FF2D6D" w:rsidRDefault="00FF2D6D" w:rsidP="00FF2D6D">
            <w:r>
              <w:rPr>
                <w:rFonts w:hint="eastAsia"/>
              </w:rPr>
              <w:t>醫管局代表律師發信表示同意作出賠償。</w:t>
            </w:r>
          </w:p>
        </w:tc>
      </w:tr>
      <w:tr w:rsidR="00FF2D6D" w:rsidTr="001D630B">
        <w:tc>
          <w:tcPr>
            <w:tcW w:w="2376" w:type="dxa"/>
          </w:tcPr>
          <w:p w:rsidR="00FF2D6D" w:rsidRDefault="00FF2D6D" w:rsidP="00FF2D6D">
            <w:r>
              <w:rPr>
                <w:rFonts w:hint="eastAsia"/>
              </w:rPr>
              <w:t>2015</w:t>
            </w:r>
            <w:r>
              <w:rPr>
                <w:rFonts w:hint="eastAsia"/>
              </w:rPr>
              <w:t>年</w:t>
            </w:r>
            <w:r>
              <w:rPr>
                <w:rFonts w:hint="eastAsia"/>
              </w:rPr>
              <w:t>7</w:t>
            </w:r>
            <w:r>
              <w:rPr>
                <w:rFonts w:hint="eastAsia"/>
              </w:rPr>
              <w:t>月</w:t>
            </w:r>
            <w:r>
              <w:rPr>
                <w:rFonts w:hint="eastAsia"/>
              </w:rPr>
              <w:t>23</w:t>
            </w:r>
            <w:r>
              <w:rPr>
                <w:rFonts w:hint="eastAsia"/>
              </w:rPr>
              <w:t>日</w:t>
            </w:r>
          </w:p>
        </w:tc>
        <w:tc>
          <w:tcPr>
            <w:tcW w:w="6521" w:type="dxa"/>
          </w:tcPr>
          <w:p w:rsidR="00FF2D6D" w:rsidRDefault="00FF2D6D" w:rsidP="00FF2D6D">
            <w:r>
              <w:rPr>
                <w:rFonts w:hint="eastAsia"/>
              </w:rPr>
              <w:t>醫委會紀律研訊開始。</w:t>
            </w:r>
          </w:p>
        </w:tc>
      </w:tr>
      <w:tr w:rsidR="00FF2D6D" w:rsidTr="001D630B">
        <w:tc>
          <w:tcPr>
            <w:tcW w:w="2376" w:type="dxa"/>
          </w:tcPr>
          <w:p w:rsidR="00FF2D6D" w:rsidRDefault="00FF2D6D" w:rsidP="00FF2D6D">
            <w:r>
              <w:rPr>
                <w:rFonts w:hint="eastAsia"/>
              </w:rPr>
              <w:t>2017</w:t>
            </w:r>
            <w:r>
              <w:rPr>
                <w:rFonts w:hint="eastAsia"/>
              </w:rPr>
              <w:t>年</w:t>
            </w:r>
            <w:r>
              <w:rPr>
                <w:rFonts w:hint="eastAsia"/>
              </w:rPr>
              <w:t>1</w:t>
            </w:r>
            <w:r>
              <w:rPr>
                <w:rFonts w:hint="eastAsia"/>
              </w:rPr>
              <w:t>月</w:t>
            </w:r>
            <w:r>
              <w:rPr>
                <w:rFonts w:hint="eastAsia"/>
              </w:rPr>
              <w:t>26</w:t>
            </w:r>
            <w:r>
              <w:rPr>
                <w:rFonts w:hint="eastAsia"/>
              </w:rPr>
              <w:t>日</w:t>
            </w:r>
          </w:p>
        </w:tc>
        <w:tc>
          <w:tcPr>
            <w:tcW w:w="6521" w:type="dxa"/>
          </w:tcPr>
          <w:p w:rsidR="00FF2D6D" w:rsidRDefault="00FF2D6D" w:rsidP="00FF2D6D">
            <w:r>
              <w:rPr>
                <w:rFonts w:hint="eastAsia"/>
              </w:rPr>
              <w:t>醫委會紀律研訊完結，共進行六日研訊。</w:t>
            </w:r>
          </w:p>
        </w:tc>
      </w:tr>
      <w:tr w:rsidR="00FF2D6D" w:rsidTr="001D630B">
        <w:tc>
          <w:tcPr>
            <w:tcW w:w="2376" w:type="dxa"/>
          </w:tcPr>
          <w:p w:rsidR="00FF2D6D" w:rsidRDefault="00FF2D6D" w:rsidP="00FF2D6D">
            <w:r>
              <w:rPr>
                <w:rFonts w:hint="eastAsia"/>
              </w:rPr>
              <w:t>2017</w:t>
            </w:r>
            <w:r>
              <w:rPr>
                <w:rFonts w:hint="eastAsia"/>
              </w:rPr>
              <w:t>年</w:t>
            </w:r>
            <w:r>
              <w:rPr>
                <w:rFonts w:hint="eastAsia"/>
              </w:rPr>
              <w:t>4</w:t>
            </w:r>
            <w:r>
              <w:rPr>
                <w:rFonts w:hint="eastAsia"/>
              </w:rPr>
              <w:t>月</w:t>
            </w:r>
            <w:r>
              <w:rPr>
                <w:rFonts w:hint="eastAsia"/>
              </w:rPr>
              <w:t>13</w:t>
            </w:r>
            <w:r>
              <w:rPr>
                <w:rFonts w:hint="eastAsia"/>
              </w:rPr>
              <w:t>日</w:t>
            </w:r>
          </w:p>
        </w:tc>
        <w:tc>
          <w:tcPr>
            <w:tcW w:w="6521" w:type="dxa"/>
          </w:tcPr>
          <w:p w:rsidR="00FF2D6D" w:rsidRDefault="00FF2D6D" w:rsidP="00FF2D6D">
            <w:r>
              <w:rPr>
                <w:rFonts w:hint="eastAsia"/>
              </w:rPr>
              <w:t>法援署通知因財務資源超出申請上限，未能獲批法律援助。</w:t>
            </w:r>
          </w:p>
        </w:tc>
      </w:tr>
    </w:tbl>
    <w:p w:rsidR="00852982" w:rsidRPr="00B92632" w:rsidRDefault="00852982" w:rsidP="00FF2D6D">
      <w:bookmarkStart w:id="0" w:name="_GoBack"/>
      <w:bookmarkEnd w:id="0"/>
    </w:p>
    <w:sectPr w:rsidR="00852982" w:rsidRPr="00B926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57" w:rsidRDefault="00FE2A57" w:rsidP="00BE7394">
      <w:r>
        <w:separator/>
      </w:r>
    </w:p>
  </w:endnote>
  <w:endnote w:type="continuationSeparator" w:id="0">
    <w:p w:rsidR="00FE2A57" w:rsidRDefault="00FE2A57" w:rsidP="00B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57" w:rsidRDefault="00FE2A57" w:rsidP="00BE7394">
      <w:r>
        <w:separator/>
      </w:r>
    </w:p>
  </w:footnote>
  <w:footnote w:type="continuationSeparator" w:id="0">
    <w:p w:rsidR="00FE2A57" w:rsidRDefault="00FE2A57" w:rsidP="00BE7394">
      <w:r>
        <w:continuationSeparator/>
      </w:r>
    </w:p>
  </w:footnote>
  <w:footnote w:id="1">
    <w:p w:rsidR="005355AC" w:rsidRPr="005355AC" w:rsidRDefault="005355AC">
      <w:pPr>
        <w:pStyle w:val="a6"/>
      </w:pPr>
      <w:r>
        <w:rPr>
          <w:rStyle w:val="a8"/>
        </w:rPr>
        <w:footnoteRef/>
      </w:r>
      <w:r>
        <w:t xml:space="preserve"> </w:t>
      </w:r>
      <w:r>
        <w:rPr>
          <w:rFonts w:hint="eastAsia"/>
        </w:rPr>
        <w:t>醫委會於</w:t>
      </w:r>
      <w:r>
        <w:rPr>
          <w:rFonts w:hint="eastAsia"/>
        </w:rPr>
        <w:t>2017</w:t>
      </w:r>
      <w:r>
        <w:rPr>
          <w:rFonts w:hint="eastAsia"/>
        </w:rPr>
        <w:t>年</w:t>
      </w:r>
      <w:r>
        <w:rPr>
          <w:rFonts w:hint="eastAsia"/>
        </w:rPr>
        <w:t>3</w:t>
      </w:r>
      <w:r>
        <w:rPr>
          <w:rFonts w:hint="eastAsia"/>
        </w:rPr>
        <w:t>月</w:t>
      </w:r>
      <w:r>
        <w:rPr>
          <w:rFonts w:hint="eastAsia"/>
        </w:rPr>
        <w:t>28</w:t>
      </w:r>
      <w:r>
        <w:rPr>
          <w:rFonts w:hint="eastAsia"/>
        </w:rPr>
        <w:t>日回覆投訴人的信件中，補充說</w:t>
      </w:r>
      <w:r w:rsidR="00852982">
        <w:rPr>
          <w:rFonts w:hint="eastAsia"/>
        </w:rPr>
        <w:t>：</w:t>
      </w:r>
      <w:r>
        <w:rPr>
          <w:rFonts w:hint="eastAsia"/>
        </w:rPr>
        <w:t>在欠缺任何直接口頭證供下，並沒有足夠證據支持被投訴醫生未能讓</w:t>
      </w:r>
      <w:r w:rsidR="00852982">
        <w:rPr>
          <w:rFonts w:hint="eastAsia"/>
        </w:rPr>
        <w:t>病人</w:t>
      </w:r>
      <w:r>
        <w:rPr>
          <w:rFonts w:hint="eastAsia"/>
        </w:rPr>
        <w:t>知悉</w:t>
      </w:r>
      <w:r w:rsidR="00852982">
        <w:rPr>
          <w:rFonts w:hint="eastAsia"/>
        </w:rPr>
        <w:t>類固醇的藥性、風險、及副作用（</w:t>
      </w:r>
      <w:r w:rsidR="00852982">
        <w:rPr>
          <w:lang w:eastAsia="zh-HK"/>
        </w:rPr>
        <w:t>“…</w:t>
      </w:r>
      <w:r w:rsidR="00852982">
        <w:rPr>
          <w:rFonts w:hint="eastAsia"/>
          <w:lang w:eastAsia="zh-HK"/>
        </w:rPr>
        <w:t xml:space="preserve">there is insufficient evidence in the absence of any direct oral evidence to support the claim that the Defendant had failed to advise the Patient of the nature, risks or side effects of systemic </w:t>
      </w:r>
      <w:r w:rsidR="00852982">
        <w:rPr>
          <w:lang w:eastAsia="zh-HK"/>
        </w:rPr>
        <w:t>steroid</w:t>
      </w:r>
      <w:r w:rsidR="00852982">
        <w:rPr>
          <w:rFonts w:hint="eastAsia"/>
          <w:lang w:eastAsia="zh-HK"/>
        </w:rPr>
        <w:t>.</w:t>
      </w:r>
      <w:r w:rsidR="00852982">
        <w:rPr>
          <w:lang w:eastAsia="zh-HK"/>
        </w:rPr>
        <w:t>”</w:t>
      </w:r>
      <w:r w:rsidR="00852982">
        <w:rPr>
          <w:rFonts w:hint="eastAsia"/>
        </w:rPr>
        <w:t>）</w:t>
      </w:r>
      <w:r w:rsidR="00015B56">
        <w:rPr>
          <w:rFonts w:hint="eastAsia"/>
        </w:rPr>
        <w:t>（見附頁）</w:t>
      </w:r>
      <w:r w:rsidR="00852982">
        <w:rPr>
          <w:rFonts w:hint="eastAsia"/>
        </w:rPr>
        <w:t>。</w:t>
      </w:r>
    </w:p>
  </w:footnote>
  <w:footnote w:id="2">
    <w:p w:rsidR="00C06D96" w:rsidRDefault="00C06D96">
      <w:pPr>
        <w:pStyle w:val="a6"/>
      </w:pPr>
      <w:r>
        <w:rPr>
          <w:rStyle w:val="a8"/>
        </w:rPr>
        <w:footnoteRef/>
      </w:r>
      <w:r>
        <w:t xml:space="preserve"> </w:t>
      </w:r>
      <w:r>
        <w:rPr>
          <w:rFonts w:hint="eastAsia"/>
        </w:rPr>
        <w:t>該案件判決原則指，醫生向病人作出治療時，應讓病人知悉各種可提供的治療的療效、風險、及副作用，並由病人決定治療方案。過去醫生以</w:t>
      </w:r>
      <w:proofErr w:type="spellStart"/>
      <w:r>
        <w:rPr>
          <w:rFonts w:hint="eastAsia"/>
          <w:lang w:eastAsia="zh-HK"/>
        </w:rPr>
        <w:t>Bolam</w:t>
      </w:r>
      <w:proofErr w:type="spellEnd"/>
      <w:r>
        <w:rPr>
          <w:rFonts w:hint="eastAsia"/>
          <w:lang w:eastAsia="zh-HK"/>
        </w:rPr>
        <w:t xml:space="preserve"> Test</w:t>
      </w:r>
      <w:r>
        <w:rPr>
          <w:rFonts w:hint="eastAsia"/>
        </w:rPr>
        <w:t>作為辯解理由，即醫生同行之間如也有不讓病人知悉有關治療資訊的行為，在上述案件判決後，不能再作為辯解理由。</w:t>
      </w:r>
    </w:p>
  </w:footnote>
  <w:footnote w:id="3">
    <w:p w:rsidR="00C67A8D" w:rsidRDefault="00C67A8D">
      <w:pPr>
        <w:pStyle w:val="a6"/>
      </w:pPr>
      <w:r>
        <w:rPr>
          <w:rStyle w:val="a8"/>
        </w:rPr>
        <w:footnoteRef/>
      </w:r>
      <w:r>
        <w:t xml:space="preserve"> </w:t>
      </w:r>
      <w:r>
        <w:rPr>
          <w:rFonts w:hint="eastAsia"/>
        </w:rPr>
        <w:t>2008</w:t>
      </w:r>
      <w:r>
        <w:rPr>
          <w:rFonts w:hint="eastAsia"/>
        </w:rPr>
        <w:t>年案件</w:t>
      </w:r>
      <w:r w:rsidRPr="00C67A8D">
        <w:t>MC 2846/4/E</w:t>
      </w:r>
      <w:r>
        <w:rPr>
          <w:rFonts w:hint="eastAsia"/>
        </w:rPr>
        <w:t>梁樹標醫生；</w:t>
      </w:r>
      <w:r>
        <w:rPr>
          <w:rFonts w:hint="eastAsia"/>
        </w:rPr>
        <w:t>2009</w:t>
      </w:r>
      <w:r>
        <w:rPr>
          <w:rFonts w:hint="eastAsia"/>
        </w:rPr>
        <w:t>年案件</w:t>
      </w:r>
      <w:r w:rsidRPr="00C67A8D">
        <w:t>MC 2/1335/4/E</w:t>
      </w:r>
      <w:r>
        <w:rPr>
          <w:rFonts w:hint="eastAsia"/>
        </w:rPr>
        <w:t>陳煒文醫生；</w:t>
      </w:r>
      <w:r>
        <w:rPr>
          <w:rFonts w:hint="eastAsia"/>
        </w:rPr>
        <w:t>2010</w:t>
      </w:r>
      <w:r>
        <w:rPr>
          <w:rFonts w:hint="eastAsia"/>
        </w:rPr>
        <w:t>年案件</w:t>
      </w:r>
      <w:r w:rsidRPr="00C67A8D">
        <w:t>MC 1/2810/4/E</w:t>
      </w:r>
      <w:r>
        <w:rPr>
          <w:rFonts w:hint="eastAsia"/>
        </w:rPr>
        <w:t>關細榮醫生；</w:t>
      </w:r>
      <w:r w:rsidR="00AF0E47">
        <w:rPr>
          <w:rFonts w:hint="eastAsia"/>
        </w:rPr>
        <w:t>2013</w:t>
      </w:r>
      <w:r w:rsidR="00AF0E47">
        <w:rPr>
          <w:rFonts w:hint="eastAsia"/>
        </w:rPr>
        <w:t>年案件</w:t>
      </w:r>
      <w:r w:rsidR="00AF0E47" w:rsidRPr="00AF0E47">
        <w:t>MC 3413/4/E</w:t>
      </w:r>
      <w:r w:rsidR="00AF0E47">
        <w:rPr>
          <w:rFonts w:hint="eastAsia"/>
        </w:rPr>
        <w:t>何澤誠醫生；</w:t>
      </w:r>
      <w:r w:rsidR="00AF0E47">
        <w:rPr>
          <w:rFonts w:hint="eastAsia"/>
        </w:rPr>
        <w:t>2014</w:t>
      </w:r>
      <w:r w:rsidR="00AF0E47">
        <w:rPr>
          <w:rFonts w:hint="eastAsia"/>
        </w:rPr>
        <w:t>年案件</w:t>
      </w:r>
      <w:r w:rsidR="00AF0E47" w:rsidRPr="00AF0E47">
        <w:t>MC 10/161</w:t>
      </w:r>
      <w:r w:rsidR="00AF0E47">
        <w:rPr>
          <w:rFonts w:hint="eastAsia"/>
        </w:rPr>
        <w:t>聶敏榮醫生。</w:t>
      </w:r>
    </w:p>
  </w:footnote>
  <w:footnote w:id="4">
    <w:p w:rsidR="004210C6" w:rsidRPr="004210C6" w:rsidRDefault="004210C6">
      <w:pPr>
        <w:pStyle w:val="a6"/>
        <w:rPr>
          <w:lang w:eastAsia="zh-HK"/>
        </w:rPr>
      </w:pPr>
      <w:r>
        <w:rPr>
          <w:rStyle w:val="a8"/>
        </w:rPr>
        <w:footnoteRef/>
      </w:r>
      <w:r>
        <w:t xml:space="preserve"> </w:t>
      </w:r>
      <w:r>
        <w:rPr>
          <w:rFonts w:hint="eastAsia"/>
          <w:lang w:eastAsia="zh-HK"/>
        </w:rPr>
        <w:t xml:space="preserve">Lai KN et al (1990), </w:t>
      </w:r>
      <w:r>
        <w:rPr>
          <w:lang w:eastAsia="zh-HK"/>
        </w:rPr>
        <w:t>‘</w:t>
      </w:r>
      <w:r>
        <w:rPr>
          <w:rFonts w:hint="eastAsia"/>
          <w:lang w:eastAsia="zh-HK"/>
        </w:rPr>
        <w:t xml:space="preserve">The therapeutic dilemma of the usage of corticosteroid in patients with membranous nephropathy and persistent hepatitis B virus surface </w:t>
      </w:r>
      <w:proofErr w:type="spellStart"/>
      <w:r>
        <w:rPr>
          <w:rFonts w:hint="eastAsia"/>
          <w:lang w:eastAsia="zh-HK"/>
        </w:rPr>
        <w:t>antigenaemia</w:t>
      </w:r>
      <w:proofErr w:type="spellEnd"/>
      <w:r>
        <w:rPr>
          <w:lang w:eastAsia="zh-HK"/>
        </w:rPr>
        <w:t>’</w:t>
      </w:r>
      <w:r>
        <w:rPr>
          <w:rFonts w:hint="eastAsia"/>
          <w:lang w:eastAsia="zh-HK"/>
        </w:rPr>
        <w:t xml:space="preserve">, </w:t>
      </w:r>
      <w:r w:rsidRPr="004210C6">
        <w:rPr>
          <w:rFonts w:hint="eastAsia"/>
          <w:i/>
          <w:lang w:eastAsia="zh-HK"/>
        </w:rPr>
        <w:t>Nephron</w:t>
      </w:r>
      <w:r>
        <w:rPr>
          <w:rFonts w:hint="eastAsia"/>
          <w:lang w:eastAsia="zh-HK"/>
        </w:rPr>
        <w:t xml:space="preserve"> 54:12-17; </w:t>
      </w:r>
      <w:proofErr w:type="spellStart"/>
      <w:r>
        <w:rPr>
          <w:rFonts w:hint="eastAsia"/>
          <w:lang w:eastAsia="zh-HK"/>
        </w:rPr>
        <w:t>Rostoker</w:t>
      </w:r>
      <w:proofErr w:type="spellEnd"/>
      <w:r>
        <w:rPr>
          <w:rFonts w:hint="eastAsia"/>
          <w:lang w:eastAsia="zh-HK"/>
        </w:rPr>
        <w:t xml:space="preserve"> G et al (1990), </w:t>
      </w:r>
      <w:r>
        <w:rPr>
          <w:lang w:eastAsia="zh-HK"/>
        </w:rPr>
        <w:t>‘</w:t>
      </w:r>
      <w:r>
        <w:rPr>
          <w:rFonts w:hint="eastAsia"/>
          <w:lang w:eastAsia="zh-HK"/>
        </w:rPr>
        <w:t>Reactivation of Hepatitis B virus by corticosteroids in a case of idiopathic nephrotic syndrome</w:t>
      </w:r>
      <w:r>
        <w:rPr>
          <w:lang w:eastAsia="zh-HK"/>
        </w:rPr>
        <w:t>’</w:t>
      </w:r>
      <w:r>
        <w:rPr>
          <w:rFonts w:hint="eastAsia"/>
          <w:lang w:eastAsia="zh-HK"/>
        </w:rPr>
        <w:t xml:space="preserve">, </w:t>
      </w:r>
      <w:r>
        <w:rPr>
          <w:rFonts w:hint="eastAsia"/>
          <w:i/>
          <w:lang w:eastAsia="zh-HK"/>
        </w:rPr>
        <w:t>Nephron</w:t>
      </w:r>
      <w:r>
        <w:rPr>
          <w:rFonts w:hint="eastAsia"/>
          <w:lang w:eastAsia="zh-HK"/>
        </w:rPr>
        <w:t>, 56: 224</w:t>
      </w:r>
      <w:r w:rsidR="005355AC">
        <w:rPr>
          <w:rFonts w:hint="eastAsia"/>
          <w:lang w:eastAsia="zh-HK"/>
        </w:rPr>
        <w:t>.</w:t>
      </w:r>
    </w:p>
  </w:footnote>
  <w:footnote w:id="5">
    <w:p w:rsidR="005355AC" w:rsidRPr="005355AC" w:rsidRDefault="005355AC">
      <w:pPr>
        <w:pStyle w:val="a6"/>
        <w:rPr>
          <w:lang w:eastAsia="zh-HK"/>
        </w:rPr>
      </w:pPr>
      <w:r>
        <w:rPr>
          <w:rStyle w:val="a8"/>
        </w:rPr>
        <w:footnoteRef/>
      </w:r>
      <w:r>
        <w:t xml:space="preserve"> </w:t>
      </w:r>
      <w:r>
        <w:rPr>
          <w:rFonts w:hint="eastAsia"/>
          <w:lang w:eastAsia="zh-HK"/>
        </w:rPr>
        <w:t xml:space="preserve">Singapore MOH Clinical Practice Guideline (2006), </w:t>
      </w:r>
      <w:r>
        <w:rPr>
          <w:rFonts w:hint="eastAsia"/>
          <w:i/>
          <w:lang w:eastAsia="zh-HK"/>
        </w:rPr>
        <w:t>Use of Corticosteroids in General Practice</w:t>
      </w:r>
      <w:r>
        <w:rPr>
          <w:rFonts w:hint="eastAsia"/>
          <w:lang w:eastAsia="zh-H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243F"/>
    <w:multiLevelType w:val="hybridMultilevel"/>
    <w:tmpl w:val="9EBAC0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AF6225D"/>
    <w:multiLevelType w:val="hybridMultilevel"/>
    <w:tmpl w:val="F7F40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052574"/>
    <w:multiLevelType w:val="hybridMultilevel"/>
    <w:tmpl w:val="227690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4281687"/>
    <w:multiLevelType w:val="hybridMultilevel"/>
    <w:tmpl w:val="C86C6D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3C932DF"/>
    <w:multiLevelType w:val="hybridMultilevel"/>
    <w:tmpl w:val="82461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922292"/>
    <w:multiLevelType w:val="hybridMultilevel"/>
    <w:tmpl w:val="B78E70A0"/>
    <w:lvl w:ilvl="0" w:tplc="1CB84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25"/>
    <w:rsid w:val="00015B56"/>
    <w:rsid w:val="00036CB1"/>
    <w:rsid w:val="0004769F"/>
    <w:rsid w:val="000B1DAF"/>
    <w:rsid w:val="000B235A"/>
    <w:rsid w:val="000C7AA8"/>
    <w:rsid w:val="00103BE8"/>
    <w:rsid w:val="00154FD5"/>
    <w:rsid w:val="00181911"/>
    <w:rsid w:val="00187E90"/>
    <w:rsid w:val="0019605F"/>
    <w:rsid w:val="001B3C8C"/>
    <w:rsid w:val="001C0CDB"/>
    <w:rsid w:val="001D630B"/>
    <w:rsid w:val="001E31BE"/>
    <w:rsid w:val="00207FF4"/>
    <w:rsid w:val="00282B86"/>
    <w:rsid w:val="002D1599"/>
    <w:rsid w:val="002F12DE"/>
    <w:rsid w:val="0032502A"/>
    <w:rsid w:val="0033104B"/>
    <w:rsid w:val="00360102"/>
    <w:rsid w:val="003C558D"/>
    <w:rsid w:val="003C654D"/>
    <w:rsid w:val="003F2832"/>
    <w:rsid w:val="00415382"/>
    <w:rsid w:val="004164B2"/>
    <w:rsid w:val="004210C6"/>
    <w:rsid w:val="00426650"/>
    <w:rsid w:val="00430CAD"/>
    <w:rsid w:val="004402E9"/>
    <w:rsid w:val="00453AE0"/>
    <w:rsid w:val="00473C27"/>
    <w:rsid w:val="0048060C"/>
    <w:rsid w:val="004B1F35"/>
    <w:rsid w:val="004B2A32"/>
    <w:rsid w:val="004B3C6B"/>
    <w:rsid w:val="004E211D"/>
    <w:rsid w:val="004F37C2"/>
    <w:rsid w:val="00527925"/>
    <w:rsid w:val="005355AC"/>
    <w:rsid w:val="0055338F"/>
    <w:rsid w:val="00560D9A"/>
    <w:rsid w:val="0057344E"/>
    <w:rsid w:val="005835BF"/>
    <w:rsid w:val="005838A2"/>
    <w:rsid w:val="00590A5B"/>
    <w:rsid w:val="00614DB3"/>
    <w:rsid w:val="00643A7B"/>
    <w:rsid w:val="00644371"/>
    <w:rsid w:val="00650761"/>
    <w:rsid w:val="0067114C"/>
    <w:rsid w:val="00677FB7"/>
    <w:rsid w:val="006A72D3"/>
    <w:rsid w:val="006A7770"/>
    <w:rsid w:val="006B42B1"/>
    <w:rsid w:val="006B5F8A"/>
    <w:rsid w:val="006C7477"/>
    <w:rsid w:val="006D3CF5"/>
    <w:rsid w:val="006E4E9A"/>
    <w:rsid w:val="006F7CDE"/>
    <w:rsid w:val="007018F5"/>
    <w:rsid w:val="00713408"/>
    <w:rsid w:val="00722344"/>
    <w:rsid w:val="00723342"/>
    <w:rsid w:val="007330C4"/>
    <w:rsid w:val="00745EBD"/>
    <w:rsid w:val="0075297F"/>
    <w:rsid w:val="00761C3F"/>
    <w:rsid w:val="007A0BFB"/>
    <w:rsid w:val="007A2ADF"/>
    <w:rsid w:val="00807509"/>
    <w:rsid w:val="00852982"/>
    <w:rsid w:val="00854D11"/>
    <w:rsid w:val="00870FFF"/>
    <w:rsid w:val="008A5084"/>
    <w:rsid w:val="008B7FC2"/>
    <w:rsid w:val="008D7576"/>
    <w:rsid w:val="008E18F7"/>
    <w:rsid w:val="008F2695"/>
    <w:rsid w:val="008F5EE1"/>
    <w:rsid w:val="009006F3"/>
    <w:rsid w:val="009044BC"/>
    <w:rsid w:val="00954FEB"/>
    <w:rsid w:val="00976167"/>
    <w:rsid w:val="009B38D0"/>
    <w:rsid w:val="009D5A43"/>
    <w:rsid w:val="00A2614A"/>
    <w:rsid w:val="00A261D1"/>
    <w:rsid w:val="00A36ACD"/>
    <w:rsid w:val="00A528EF"/>
    <w:rsid w:val="00A618C4"/>
    <w:rsid w:val="00A75B1C"/>
    <w:rsid w:val="00AA34D0"/>
    <w:rsid w:val="00AB0A82"/>
    <w:rsid w:val="00AC16F2"/>
    <w:rsid w:val="00AF0E47"/>
    <w:rsid w:val="00B07CD9"/>
    <w:rsid w:val="00B83E65"/>
    <w:rsid w:val="00B92632"/>
    <w:rsid w:val="00BC11C7"/>
    <w:rsid w:val="00BE3212"/>
    <w:rsid w:val="00BE7394"/>
    <w:rsid w:val="00C06D96"/>
    <w:rsid w:val="00C34873"/>
    <w:rsid w:val="00C37AD6"/>
    <w:rsid w:val="00C41DF2"/>
    <w:rsid w:val="00C67A8D"/>
    <w:rsid w:val="00C9630C"/>
    <w:rsid w:val="00CD6190"/>
    <w:rsid w:val="00CF07B3"/>
    <w:rsid w:val="00D0411F"/>
    <w:rsid w:val="00D236A1"/>
    <w:rsid w:val="00D5577C"/>
    <w:rsid w:val="00D94FB3"/>
    <w:rsid w:val="00DD1E77"/>
    <w:rsid w:val="00DE0B0E"/>
    <w:rsid w:val="00DE23BD"/>
    <w:rsid w:val="00E14F42"/>
    <w:rsid w:val="00E709FB"/>
    <w:rsid w:val="00E903A5"/>
    <w:rsid w:val="00EA0C09"/>
    <w:rsid w:val="00EB7BD1"/>
    <w:rsid w:val="00F70773"/>
    <w:rsid w:val="00FE24C0"/>
    <w:rsid w:val="00FE2A57"/>
    <w:rsid w:val="00FE5200"/>
    <w:rsid w:val="00FF2D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6ACD"/>
    <w:pPr>
      <w:jc w:val="right"/>
    </w:pPr>
  </w:style>
  <w:style w:type="character" w:customStyle="1" w:styleId="a4">
    <w:name w:val="日期 字元"/>
    <w:basedOn w:val="a0"/>
    <w:link w:val="a3"/>
    <w:uiPriority w:val="99"/>
    <w:semiHidden/>
    <w:rsid w:val="00A36ACD"/>
  </w:style>
  <w:style w:type="paragraph" w:styleId="a5">
    <w:name w:val="List Paragraph"/>
    <w:basedOn w:val="a"/>
    <w:uiPriority w:val="34"/>
    <w:qFormat/>
    <w:rsid w:val="00590A5B"/>
    <w:pPr>
      <w:ind w:leftChars="200" w:left="480"/>
    </w:pPr>
  </w:style>
  <w:style w:type="paragraph" w:styleId="a6">
    <w:name w:val="footnote text"/>
    <w:basedOn w:val="a"/>
    <w:link w:val="a7"/>
    <w:uiPriority w:val="99"/>
    <w:semiHidden/>
    <w:unhideWhenUsed/>
    <w:rsid w:val="00BE7394"/>
    <w:pPr>
      <w:snapToGrid w:val="0"/>
    </w:pPr>
    <w:rPr>
      <w:sz w:val="20"/>
      <w:szCs w:val="20"/>
    </w:rPr>
  </w:style>
  <w:style w:type="character" w:customStyle="1" w:styleId="a7">
    <w:name w:val="註腳文字 字元"/>
    <w:basedOn w:val="a0"/>
    <w:link w:val="a6"/>
    <w:uiPriority w:val="99"/>
    <w:semiHidden/>
    <w:rsid w:val="00BE7394"/>
    <w:rPr>
      <w:sz w:val="20"/>
      <w:szCs w:val="20"/>
    </w:rPr>
  </w:style>
  <w:style w:type="character" w:styleId="a8">
    <w:name w:val="footnote reference"/>
    <w:basedOn w:val="a0"/>
    <w:uiPriority w:val="99"/>
    <w:semiHidden/>
    <w:unhideWhenUsed/>
    <w:rsid w:val="00BE7394"/>
    <w:rPr>
      <w:vertAlign w:val="superscript"/>
    </w:rPr>
  </w:style>
  <w:style w:type="paragraph" w:styleId="a9">
    <w:name w:val="Salutation"/>
    <w:basedOn w:val="a"/>
    <w:next w:val="a"/>
    <w:link w:val="aa"/>
    <w:uiPriority w:val="99"/>
    <w:unhideWhenUsed/>
    <w:rsid w:val="00426650"/>
  </w:style>
  <w:style w:type="character" w:customStyle="1" w:styleId="aa">
    <w:name w:val="問候 字元"/>
    <w:basedOn w:val="a0"/>
    <w:link w:val="a9"/>
    <w:uiPriority w:val="99"/>
    <w:rsid w:val="00426650"/>
  </w:style>
  <w:style w:type="paragraph" w:styleId="ab">
    <w:name w:val="Closing"/>
    <w:basedOn w:val="a"/>
    <w:link w:val="ac"/>
    <w:uiPriority w:val="99"/>
    <w:unhideWhenUsed/>
    <w:rsid w:val="00426650"/>
    <w:pPr>
      <w:ind w:leftChars="1800" w:left="100"/>
    </w:pPr>
  </w:style>
  <w:style w:type="character" w:customStyle="1" w:styleId="ac">
    <w:name w:val="結語 字元"/>
    <w:basedOn w:val="a0"/>
    <w:link w:val="ab"/>
    <w:uiPriority w:val="99"/>
    <w:rsid w:val="00426650"/>
  </w:style>
  <w:style w:type="table" w:styleId="ad">
    <w:name w:val="Table Grid"/>
    <w:basedOn w:val="a1"/>
    <w:uiPriority w:val="59"/>
    <w:rsid w:val="00B92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B7FC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B7FC2"/>
    <w:rPr>
      <w:rFonts w:asciiTheme="majorHAnsi" w:eastAsiaTheme="majorEastAsia" w:hAnsiTheme="majorHAnsi" w:cstheme="majorBidi"/>
      <w:sz w:val="18"/>
      <w:szCs w:val="18"/>
    </w:rPr>
  </w:style>
  <w:style w:type="paragraph" w:styleId="af0">
    <w:name w:val="header"/>
    <w:basedOn w:val="a"/>
    <w:link w:val="af1"/>
    <w:uiPriority w:val="99"/>
    <w:unhideWhenUsed/>
    <w:rsid w:val="00B83E65"/>
    <w:pPr>
      <w:tabs>
        <w:tab w:val="center" w:pos="4153"/>
        <w:tab w:val="right" w:pos="8306"/>
      </w:tabs>
      <w:snapToGrid w:val="0"/>
    </w:pPr>
    <w:rPr>
      <w:sz w:val="20"/>
      <w:szCs w:val="20"/>
    </w:rPr>
  </w:style>
  <w:style w:type="character" w:customStyle="1" w:styleId="af1">
    <w:name w:val="頁首 字元"/>
    <w:basedOn w:val="a0"/>
    <w:link w:val="af0"/>
    <w:uiPriority w:val="99"/>
    <w:rsid w:val="00B83E65"/>
    <w:rPr>
      <w:sz w:val="20"/>
      <w:szCs w:val="20"/>
    </w:rPr>
  </w:style>
  <w:style w:type="paragraph" w:styleId="af2">
    <w:name w:val="footer"/>
    <w:basedOn w:val="a"/>
    <w:link w:val="af3"/>
    <w:uiPriority w:val="99"/>
    <w:unhideWhenUsed/>
    <w:rsid w:val="00B83E65"/>
    <w:pPr>
      <w:tabs>
        <w:tab w:val="center" w:pos="4153"/>
        <w:tab w:val="right" w:pos="8306"/>
      </w:tabs>
      <w:snapToGrid w:val="0"/>
    </w:pPr>
    <w:rPr>
      <w:sz w:val="20"/>
      <w:szCs w:val="20"/>
    </w:rPr>
  </w:style>
  <w:style w:type="character" w:customStyle="1" w:styleId="af3">
    <w:name w:val="頁尾 字元"/>
    <w:basedOn w:val="a0"/>
    <w:link w:val="af2"/>
    <w:uiPriority w:val="99"/>
    <w:rsid w:val="00B83E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6ACD"/>
    <w:pPr>
      <w:jc w:val="right"/>
    </w:pPr>
  </w:style>
  <w:style w:type="character" w:customStyle="1" w:styleId="a4">
    <w:name w:val="日期 字元"/>
    <w:basedOn w:val="a0"/>
    <w:link w:val="a3"/>
    <w:uiPriority w:val="99"/>
    <w:semiHidden/>
    <w:rsid w:val="00A36ACD"/>
  </w:style>
  <w:style w:type="paragraph" w:styleId="a5">
    <w:name w:val="List Paragraph"/>
    <w:basedOn w:val="a"/>
    <w:uiPriority w:val="34"/>
    <w:qFormat/>
    <w:rsid w:val="00590A5B"/>
    <w:pPr>
      <w:ind w:leftChars="200" w:left="480"/>
    </w:pPr>
  </w:style>
  <w:style w:type="paragraph" w:styleId="a6">
    <w:name w:val="footnote text"/>
    <w:basedOn w:val="a"/>
    <w:link w:val="a7"/>
    <w:uiPriority w:val="99"/>
    <w:semiHidden/>
    <w:unhideWhenUsed/>
    <w:rsid w:val="00BE7394"/>
    <w:pPr>
      <w:snapToGrid w:val="0"/>
    </w:pPr>
    <w:rPr>
      <w:sz w:val="20"/>
      <w:szCs w:val="20"/>
    </w:rPr>
  </w:style>
  <w:style w:type="character" w:customStyle="1" w:styleId="a7">
    <w:name w:val="註腳文字 字元"/>
    <w:basedOn w:val="a0"/>
    <w:link w:val="a6"/>
    <w:uiPriority w:val="99"/>
    <w:semiHidden/>
    <w:rsid w:val="00BE7394"/>
    <w:rPr>
      <w:sz w:val="20"/>
      <w:szCs w:val="20"/>
    </w:rPr>
  </w:style>
  <w:style w:type="character" w:styleId="a8">
    <w:name w:val="footnote reference"/>
    <w:basedOn w:val="a0"/>
    <w:uiPriority w:val="99"/>
    <w:semiHidden/>
    <w:unhideWhenUsed/>
    <w:rsid w:val="00BE7394"/>
    <w:rPr>
      <w:vertAlign w:val="superscript"/>
    </w:rPr>
  </w:style>
  <w:style w:type="paragraph" w:styleId="a9">
    <w:name w:val="Salutation"/>
    <w:basedOn w:val="a"/>
    <w:next w:val="a"/>
    <w:link w:val="aa"/>
    <w:uiPriority w:val="99"/>
    <w:unhideWhenUsed/>
    <w:rsid w:val="00426650"/>
  </w:style>
  <w:style w:type="character" w:customStyle="1" w:styleId="aa">
    <w:name w:val="問候 字元"/>
    <w:basedOn w:val="a0"/>
    <w:link w:val="a9"/>
    <w:uiPriority w:val="99"/>
    <w:rsid w:val="00426650"/>
  </w:style>
  <w:style w:type="paragraph" w:styleId="ab">
    <w:name w:val="Closing"/>
    <w:basedOn w:val="a"/>
    <w:link w:val="ac"/>
    <w:uiPriority w:val="99"/>
    <w:unhideWhenUsed/>
    <w:rsid w:val="00426650"/>
    <w:pPr>
      <w:ind w:leftChars="1800" w:left="100"/>
    </w:pPr>
  </w:style>
  <w:style w:type="character" w:customStyle="1" w:styleId="ac">
    <w:name w:val="結語 字元"/>
    <w:basedOn w:val="a0"/>
    <w:link w:val="ab"/>
    <w:uiPriority w:val="99"/>
    <w:rsid w:val="00426650"/>
  </w:style>
  <w:style w:type="table" w:styleId="ad">
    <w:name w:val="Table Grid"/>
    <w:basedOn w:val="a1"/>
    <w:uiPriority w:val="59"/>
    <w:rsid w:val="00B92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B7FC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B7FC2"/>
    <w:rPr>
      <w:rFonts w:asciiTheme="majorHAnsi" w:eastAsiaTheme="majorEastAsia" w:hAnsiTheme="majorHAnsi" w:cstheme="majorBidi"/>
      <w:sz w:val="18"/>
      <w:szCs w:val="18"/>
    </w:rPr>
  </w:style>
  <w:style w:type="paragraph" w:styleId="af0">
    <w:name w:val="header"/>
    <w:basedOn w:val="a"/>
    <w:link w:val="af1"/>
    <w:uiPriority w:val="99"/>
    <w:unhideWhenUsed/>
    <w:rsid w:val="00B83E65"/>
    <w:pPr>
      <w:tabs>
        <w:tab w:val="center" w:pos="4153"/>
        <w:tab w:val="right" w:pos="8306"/>
      </w:tabs>
      <w:snapToGrid w:val="0"/>
    </w:pPr>
    <w:rPr>
      <w:sz w:val="20"/>
      <w:szCs w:val="20"/>
    </w:rPr>
  </w:style>
  <w:style w:type="character" w:customStyle="1" w:styleId="af1">
    <w:name w:val="頁首 字元"/>
    <w:basedOn w:val="a0"/>
    <w:link w:val="af0"/>
    <w:uiPriority w:val="99"/>
    <w:rsid w:val="00B83E65"/>
    <w:rPr>
      <w:sz w:val="20"/>
      <w:szCs w:val="20"/>
    </w:rPr>
  </w:style>
  <w:style w:type="paragraph" w:styleId="af2">
    <w:name w:val="footer"/>
    <w:basedOn w:val="a"/>
    <w:link w:val="af3"/>
    <w:uiPriority w:val="99"/>
    <w:unhideWhenUsed/>
    <w:rsid w:val="00B83E65"/>
    <w:pPr>
      <w:tabs>
        <w:tab w:val="center" w:pos="4153"/>
        <w:tab w:val="right" w:pos="8306"/>
      </w:tabs>
      <w:snapToGrid w:val="0"/>
    </w:pPr>
    <w:rPr>
      <w:sz w:val="20"/>
      <w:szCs w:val="20"/>
    </w:rPr>
  </w:style>
  <w:style w:type="character" w:customStyle="1" w:styleId="af3">
    <w:name w:val="頁尾 字元"/>
    <w:basedOn w:val="a0"/>
    <w:link w:val="af2"/>
    <w:uiPriority w:val="99"/>
    <w:rsid w:val="00B83E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C90B-1676-46C3-A0C1-82151A5B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SoCO_TIM</dc:creator>
  <cp:lastModifiedBy>Yuen</cp:lastModifiedBy>
  <cp:revision>4</cp:revision>
  <cp:lastPrinted>2017-05-15T05:14:00Z</cp:lastPrinted>
  <dcterms:created xsi:type="dcterms:W3CDTF">2017-05-22T09:47:00Z</dcterms:created>
  <dcterms:modified xsi:type="dcterms:W3CDTF">2017-05-22T09:50:00Z</dcterms:modified>
</cp:coreProperties>
</file>