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67" w:rsidRPr="0021479B" w:rsidRDefault="00782565" w:rsidP="0021479B">
      <w:pPr>
        <w:pBdr>
          <w:bottom w:val="single" w:sz="12" w:space="1" w:color="auto"/>
        </w:pBdr>
        <w:spacing w:line="400" w:lineRule="exact"/>
        <w:jc w:val="center"/>
        <w:rPr>
          <w:rFonts w:ascii="SimHei" w:eastAsia="SimHei" w:hAnsi="SimHei"/>
          <w:sz w:val="28"/>
        </w:rPr>
      </w:pPr>
      <w:r w:rsidRPr="0021479B">
        <w:rPr>
          <w:rFonts w:ascii="SimHei" w:eastAsia="SimHei" w:hAnsi="SimHei" w:hint="eastAsia"/>
          <w:sz w:val="28"/>
        </w:rPr>
        <w:t>香港社區組織協會</w:t>
      </w:r>
    </w:p>
    <w:p w:rsidR="00782565" w:rsidRPr="0021479B" w:rsidRDefault="00782565" w:rsidP="0021479B">
      <w:pPr>
        <w:pBdr>
          <w:bottom w:val="single" w:sz="12" w:space="1" w:color="auto"/>
        </w:pBdr>
        <w:spacing w:line="400" w:lineRule="exact"/>
        <w:jc w:val="center"/>
        <w:rPr>
          <w:rFonts w:ascii="SimHei" w:eastAsia="SimHei" w:hAnsi="SimHei"/>
          <w:sz w:val="28"/>
        </w:rPr>
      </w:pPr>
      <w:r w:rsidRPr="0021479B">
        <w:rPr>
          <w:rFonts w:ascii="SimHei" w:eastAsia="SimHei" w:hAnsi="SimHei" w:hint="eastAsia"/>
          <w:sz w:val="28"/>
        </w:rPr>
        <w:t>就立法會衞生事務委員會討論</w:t>
      </w:r>
    </w:p>
    <w:p w:rsidR="00782565" w:rsidRPr="0021479B" w:rsidRDefault="00782565" w:rsidP="0021479B">
      <w:pPr>
        <w:pBdr>
          <w:bottom w:val="single" w:sz="12" w:space="1" w:color="auto"/>
        </w:pBdr>
        <w:spacing w:line="400" w:lineRule="exact"/>
        <w:jc w:val="center"/>
        <w:rPr>
          <w:rFonts w:ascii="SimHei" w:eastAsia="SimHei" w:hAnsi="SimHei"/>
          <w:sz w:val="28"/>
        </w:rPr>
      </w:pPr>
      <w:r w:rsidRPr="0021479B">
        <w:rPr>
          <w:rFonts w:ascii="SimHei" w:eastAsia="SimHei" w:hAnsi="SimHei" w:hint="eastAsia"/>
          <w:sz w:val="28"/>
        </w:rPr>
        <w:t>葵青區地區康健中心的回應</w:t>
      </w:r>
    </w:p>
    <w:p w:rsidR="00782565" w:rsidRDefault="00782565">
      <w:pPr>
        <w:rPr>
          <w:lang w:eastAsia="zh-HK"/>
        </w:rPr>
      </w:pPr>
    </w:p>
    <w:p w:rsidR="00027A94" w:rsidRDefault="003C5637" w:rsidP="0021479B">
      <w:pPr>
        <w:jc w:val="both"/>
      </w:pPr>
      <w:r>
        <w:rPr>
          <w:rFonts w:hint="eastAsia"/>
        </w:rPr>
        <w:t xml:space="preserve">　　</w:t>
      </w:r>
      <w:r w:rsidR="006B56AC">
        <w:rPr>
          <w:rFonts w:hint="eastAsia"/>
        </w:rPr>
        <w:t>香港社區組織協會（社協）一直關注基層市民的權利實踐情況</w:t>
      </w:r>
      <w:r w:rsidR="00027A94">
        <w:rPr>
          <w:rFonts w:hint="eastAsia"/>
        </w:rPr>
        <w:t>，包括健康權利</w:t>
      </w:r>
      <w:r w:rsidR="006B56AC">
        <w:rPr>
          <w:rFonts w:hint="eastAsia"/>
        </w:rPr>
        <w:t>，並致力推動政府</w:t>
      </w:r>
      <w:r w:rsidR="00027A94">
        <w:rPr>
          <w:rFonts w:hint="eastAsia"/>
        </w:rPr>
        <w:t>透過公共服務履行</w:t>
      </w:r>
      <w:r w:rsidR="006B56AC">
        <w:rPr>
          <w:rFonts w:hint="eastAsia"/>
        </w:rPr>
        <w:t>各項</w:t>
      </w:r>
      <w:r w:rsidR="00027A94">
        <w:rPr>
          <w:rFonts w:hint="eastAsia"/>
        </w:rPr>
        <w:t>責任</w:t>
      </w:r>
      <w:r w:rsidR="006B56AC">
        <w:rPr>
          <w:rFonts w:hint="eastAsia"/>
        </w:rPr>
        <w:t>。</w:t>
      </w:r>
      <w:proofErr w:type="gramStart"/>
      <w:r w:rsidR="006B56AC">
        <w:rPr>
          <w:rFonts w:hint="eastAsia"/>
        </w:rPr>
        <w:t>因此社協</w:t>
      </w:r>
      <w:r w:rsidR="00027A94">
        <w:rPr>
          <w:rFonts w:hint="eastAsia"/>
        </w:rPr>
        <w:t>一直</w:t>
      </w:r>
      <w:proofErr w:type="gramEnd"/>
      <w:r w:rsidR="00027A94">
        <w:rPr>
          <w:rFonts w:hint="eastAsia"/>
        </w:rPr>
        <w:t>關注基層醫療健康的發展，以促進市民的健康權利。</w:t>
      </w:r>
    </w:p>
    <w:p w:rsidR="00027A94" w:rsidRDefault="00027A94" w:rsidP="0021479B">
      <w:pPr>
        <w:jc w:val="both"/>
      </w:pPr>
    </w:p>
    <w:p w:rsidR="00782565" w:rsidRDefault="00027A94" w:rsidP="0021479B">
      <w:pPr>
        <w:jc w:val="both"/>
      </w:pPr>
      <w:r>
        <w:rPr>
          <w:rFonts w:hint="eastAsia"/>
        </w:rPr>
        <w:t xml:space="preserve">　　</w:t>
      </w:r>
      <w:r w:rsidR="00782565">
        <w:rPr>
          <w:rFonts w:hint="eastAsia"/>
        </w:rPr>
        <w:t>政府剛向立法會衞生</w:t>
      </w:r>
      <w:r w:rsidR="003C5637">
        <w:rPr>
          <w:rFonts w:hint="eastAsia"/>
        </w:rPr>
        <w:t>事務委員會提交討論文件，</w:t>
      </w:r>
      <w:r w:rsidR="003C5637">
        <w:rPr>
          <w:rStyle w:val="a5"/>
        </w:rPr>
        <w:footnoteReference w:id="1"/>
      </w:r>
      <w:r w:rsidR="003C5637">
        <w:rPr>
          <w:rFonts w:hint="eastAsia"/>
        </w:rPr>
        <w:t>解釋在制定葵青區地區康健中心</w:t>
      </w:r>
      <w:r w:rsidR="006B56AC">
        <w:rPr>
          <w:rFonts w:hint="eastAsia"/>
        </w:rPr>
        <w:t>（康健中心）</w:t>
      </w:r>
      <w:r w:rsidR="003C5637">
        <w:rPr>
          <w:rFonts w:hint="eastAsia"/>
        </w:rPr>
        <w:t>試點計劃的建議</w:t>
      </w:r>
      <w:r w:rsidR="00A95B54">
        <w:rPr>
          <w:rFonts w:hint="eastAsia"/>
        </w:rPr>
        <w:t>時，各項考慮因素</w:t>
      </w:r>
      <w:r w:rsidR="003C5637">
        <w:rPr>
          <w:rFonts w:hint="eastAsia"/>
        </w:rPr>
        <w:t>。</w:t>
      </w:r>
      <w:r w:rsidR="00A95B54">
        <w:rPr>
          <w:rFonts w:hint="eastAsia"/>
        </w:rPr>
        <w:t>本會就上述文件有以下回應及意見：</w:t>
      </w:r>
    </w:p>
    <w:p w:rsidR="00A95B54" w:rsidRDefault="00A95B54" w:rsidP="0021479B">
      <w:pPr>
        <w:jc w:val="both"/>
      </w:pPr>
    </w:p>
    <w:p w:rsidR="00A95B54" w:rsidRDefault="006B56AC" w:rsidP="0021479B">
      <w:pPr>
        <w:pStyle w:val="a6"/>
        <w:numPr>
          <w:ilvl w:val="0"/>
          <w:numId w:val="4"/>
        </w:numPr>
        <w:ind w:leftChars="0"/>
        <w:jc w:val="both"/>
      </w:pPr>
      <w:r>
        <w:rPr>
          <w:rFonts w:hint="eastAsia"/>
        </w:rPr>
        <w:t>文件第</w:t>
      </w:r>
      <w:r>
        <w:rPr>
          <w:rFonts w:hint="eastAsia"/>
        </w:rPr>
        <w:t>6</w:t>
      </w:r>
      <w:r w:rsidR="00CF46F1">
        <w:rPr>
          <w:rFonts w:hint="eastAsia"/>
        </w:rPr>
        <w:t>段</w:t>
      </w:r>
      <w:r>
        <w:rPr>
          <w:rFonts w:hint="eastAsia"/>
        </w:rPr>
        <w:t>提及康健中心的目標，包括</w:t>
      </w:r>
      <w:r w:rsidRPr="00987E40">
        <w:rPr>
          <w:rFonts w:asciiTheme="minorEastAsia" w:hAnsiTheme="minorEastAsia" w:hint="eastAsia"/>
        </w:rPr>
        <w:t>「</w:t>
      </w:r>
      <w:r>
        <w:rPr>
          <w:rFonts w:hint="eastAsia"/>
        </w:rPr>
        <w:t>提高公眾對於個人健康管理的意識，加強疾病預防，和強化社區醫療及復康服務，以減少不必要地使用醫院服務的情況</w:t>
      </w:r>
      <w:r w:rsidRPr="00987E40">
        <w:rPr>
          <w:rFonts w:asciiTheme="minorEastAsia" w:hAnsiTheme="minorEastAsia" w:hint="eastAsia"/>
        </w:rPr>
        <w:t>」。</w:t>
      </w:r>
      <w:proofErr w:type="gramStart"/>
      <w:r w:rsidR="00027A94" w:rsidRPr="00987E40">
        <w:rPr>
          <w:rFonts w:asciiTheme="minorEastAsia" w:hAnsiTheme="minorEastAsia" w:hint="eastAsia"/>
        </w:rPr>
        <w:t>社協認為</w:t>
      </w:r>
      <w:proofErr w:type="gramEnd"/>
      <w:r w:rsidR="00027A94" w:rsidRPr="00987E40">
        <w:rPr>
          <w:rFonts w:asciiTheme="minorEastAsia" w:hAnsiTheme="minorEastAsia" w:hint="eastAsia"/>
        </w:rPr>
        <w:t>，</w:t>
      </w:r>
      <w:r w:rsidR="004D7AF0" w:rsidRPr="00987E40">
        <w:rPr>
          <w:rFonts w:asciiTheme="minorEastAsia" w:hAnsiTheme="minorEastAsia" w:hint="eastAsia"/>
        </w:rPr>
        <w:t>基層醫療健康服務的目標，應該是提升市民健康水平，</w:t>
      </w:r>
      <w:r w:rsidR="00657366" w:rsidRPr="00987E40">
        <w:rPr>
          <w:rFonts w:asciiTheme="minorEastAsia" w:hAnsiTheme="minorEastAsia" w:hint="eastAsia"/>
        </w:rPr>
        <w:t>並</w:t>
      </w:r>
      <w:r w:rsidR="004D7AF0" w:rsidRPr="00987E40">
        <w:rPr>
          <w:rFonts w:asciiTheme="minorEastAsia" w:hAnsiTheme="minorEastAsia" w:hint="eastAsia"/>
        </w:rPr>
        <w:t>最終因</w:t>
      </w:r>
      <w:r w:rsidR="00657366" w:rsidRPr="00987E40">
        <w:rPr>
          <w:rFonts w:asciiTheme="minorEastAsia" w:hAnsiTheme="minorEastAsia" w:hint="eastAsia"/>
        </w:rPr>
        <w:t>此</w:t>
      </w:r>
      <w:r w:rsidR="00027A94" w:rsidRPr="00987E40">
        <w:rPr>
          <w:rFonts w:asciiTheme="minorEastAsia" w:hAnsiTheme="minorEastAsia" w:hint="eastAsia"/>
        </w:rPr>
        <w:t>減少使用</w:t>
      </w:r>
      <w:r w:rsidR="004D7AF0" w:rsidRPr="00987E40">
        <w:rPr>
          <w:rFonts w:asciiTheme="minorEastAsia" w:hAnsiTheme="minorEastAsia" w:hint="eastAsia"/>
        </w:rPr>
        <w:t>第二層醫療</w:t>
      </w:r>
      <w:r w:rsidR="00027A94">
        <w:rPr>
          <w:rFonts w:hint="eastAsia"/>
        </w:rPr>
        <w:t>服務</w:t>
      </w:r>
      <w:r w:rsidR="004D7AF0">
        <w:rPr>
          <w:rFonts w:hint="eastAsia"/>
        </w:rPr>
        <w:t>。雖然如此，在規劃</w:t>
      </w:r>
      <w:r w:rsidR="004D7AF0" w:rsidRPr="00987E40">
        <w:rPr>
          <w:rFonts w:asciiTheme="minorEastAsia" w:hAnsiTheme="minorEastAsia" w:hint="eastAsia"/>
        </w:rPr>
        <w:t>基層醫療健康服務</w:t>
      </w:r>
      <w:r w:rsidR="004D7AF0">
        <w:rPr>
          <w:rFonts w:hint="eastAsia"/>
        </w:rPr>
        <w:t>時，不</w:t>
      </w:r>
      <w:r w:rsidR="00027A94">
        <w:rPr>
          <w:rFonts w:hint="eastAsia"/>
        </w:rPr>
        <w:t>應</w:t>
      </w:r>
      <w:r w:rsidR="004D7AF0">
        <w:rPr>
          <w:rFonts w:hint="eastAsia"/>
        </w:rPr>
        <w:t>以醫院服務</w:t>
      </w:r>
      <w:r w:rsidR="00657366">
        <w:rPr>
          <w:rFonts w:hint="eastAsia"/>
        </w:rPr>
        <w:t>的情況</w:t>
      </w:r>
      <w:r w:rsidR="004D7AF0">
        <w:rPr>
          <w:rFonts w:hint="eastAsia"/>
        </w:rPr>
        <w:t>作為</w:t>
      </w:r>
      <w:r w:rsidR="00657366">
        <w:rPr>
          <w:rFonts w:hint="eastAsia"/>
        </w:rPr>
        <w:t>考慮焦點，否則便是重蹈覆轍，繼續錯誤地以第二層醫療服務作為醫療健康政策的重點</w:t>
      </w:r>
      <w:r w:rsidR="004D7AF0">
        <w:rPr>
          <w:rFonts w:hint="eastAsia"/>
        </w:rPr>
        <w:t>。</w:t>
      </w:r>
    </w:p>
    <w:p w:rsidR="003C5637" w:rsidRDefault="003C5637" w:rsidP="0021479B">
      <w:pPr>
        <w:jc w:val="both"/>
        <w:rPr>
          <w:lang w:eastAsia="zh-HK"/>
        </w:rPr>
      </w:pPr>
    </w:p>
    <w:p w:rsidR="00C916B4" w:rsidRDefault="008415D0" w:rsidP="0021479B">
      <w:pPr>
        <w:pStyle w:val="a6"/>
        <w:numPr>
          <w:ilvl w:val="0"/>
          <w:numId w:val="4"/>
        </w:numPr>
        <w:ind w:leftChars="0"/>
        <w:jc w:val="both"/>
      </w:pPr>
      <w:r>
        <w:rPr>
          <w:rFonts w:hint="eastAsia"/>
        </w:rPr>
        <w:t>文件第</w:t>
      </w:r>
      <w:r>
        <w:rPr>
          <w:rFonts w:hint="eastAsia"/>
        </w:rPr>
        <w:t>7</w:t>
      </w:r>
      <w:r w:rsidR="00CF46F1">
        <w:rPr>
          <w:rFonts w:hint="eastAsia"/>
        </w:rPr>
        <w:t>段</w:t>
      </w:r>
      <w:r>
        <w:rPr>
          <w:rFonts w:hint="eastAsia"/>
        </w:rPr>
        <w:t>提及康健中心設</w:t>
      </w:r>
      <w:proofErr w:type="gramStart"/>
      <w:r>
        <w:rPr>
          <w:rFonts w:hint="eastAsia"/>
        </w:rPr>
        <w:t>於</w:t>
      </w:r>
      <w:r w:rsidR="002806ED">
        <w:rPr>
          <w:rFonts w:hint="eastAsia"/>
        </w:rPr>
        <w:t>葵青</w:t>
      </w:r>
      <w:proofErr w:type="gramEnd"/>
      <w:r w:rsidR="002806ED">
        <w:rPr>
          <w:rFonts w:hint="eastAsia"/>
        </w:rPr>
        <w:t>區，並參考了該區人口整體的健康狀況，以制定服務重點。</w:t>
      </w:r>
      <w:proofErr w:type="gramStart"/>
      <w:r w:rsidR="002806ED">
        <w:rPr>
          <w:rFonts w:hint="eastAsia"/>
        </w:rPr>
        <w:t>社協認為</w:t>
      </w:r>
      <w:proofErr w:type="gramEnd"/>
      <w:r w:rsidR="002806ED">
        <w:rPr>
          <w:rFonts w:hint="eastAsia"/>
        </w:rPr>
        <w:t>，葵青區的人口特徵，例如男女比例、長者人口比例、</w:t>
      </w:r>
      <w:r w:rsidR="00741CA6">
        <w:rPr>
          <w:rFonts w:hint="eastAsia"/>
        </w:rPr>
        <w:t>家庭及收入狀況</w:t>
      </w:r>
      <w:r w:rsidR="002806ED">
        <w:rPr>
          <w:rFonts w:hint="eastAsia"/>
        </w:rPr>
        <w:t>等，</w:t>
      </w:r>
      <w:proofErr w:type="gramStart"/>
      <w:r w:rsidR="002806ED">
        <w:rPr>
          <w:rFonts w:hint="eastAsia"/>
        </w:rPr>
        <w:t>均與深水</w:t>
      </w:r>
      <w:proofErr w:type="gramEnd"/>
      <w:r w:rsidR="002806ED">
        <w:rPr>
          <w:rFonts w:hint="eastAsia"/>
        </w:rPr>
        <w:t>埗區相</w:t>
      </w:r>
      <w:r w:rsidR="00CC524E">
        <w:rPr>
          <w:rFonts w:hint="eastAsia"/>
        </w:rPr>
        <w:t>近，而深水埗區的貧窮情況更稍為顯著。</w:t>
      </w:r>
      <w:r w:rsidR="00741CA6">
        <w:rPr>
          <w:rStyle w:val="a5"/>
        </w:rPr>
        <w:footnoteReference w:id="2"/>
      </w:r>
      <w:r w:rsidR="00B221E9">
        <w:rPr>
          <w:rFonts w:hint="eastAsia"/>
        </w:rPr>
        <w:t>由此可估計</w:t>
      </w:r>
      <w:r w:rsidR="002806ED">
        <w:rPr>
          <w:rFonts w:hint="eastAsia"/>
        </w:rPr>
        <w:t>，</w:t>
      </w:r>
      <w:r w:rsidR="00CC524E">
        <w:rPr>
          <w:rFonts w:hint="eastAsia"/>
        </w:rPr>
        <w:t>深水埗區的居民與葵青區的</w:t>
      </w:r>
      <w:r w:rsidR="00B221E9">
        <w:rPr>
          <w:rFonts w:hint="eastAsia"/>
        </w:rPr>
        <w:t>健康狀況接近</w:t>
      </w:r>
      <w:r w:rsidR="00CC524E">
        <w:rPr>
          <w:rFonts w:hint="eastAsia"/>
        </w:rPr>
        <w:t>，</w:t>
      </w:r>
      <w:r w:rsidR="00B221E9">
        <w:rPr>
          <w:rFonts w:hint="eastAsia"/>
        </w:rPr>
        <w:t>也</w:t>
      </w:r>
      <w:r w:rsidR="00CC524E">
        <w:rPr>
          <w:rFonts w:hint="eastAsia"/>
        </w:rPr>
        <w:t>有同樣的基層醫療健康服務的需要。</w:t>
      </w:r>
      <w:proofErr w:type="gramStart"/>
      <w:r w:rsidR="00CC524E">
        <w:rPr>
          <w:rFonts w:hint="eastAsia"/>
        </w:rPr>
        <w:t>社協認為</w:t>
      </w:r>
      <w:proofErr w:type="gramEnd"/>
      <w:r w:rsidR="00CC524E">
        <w:rPr>
          <w:rFonts w:hint="eastAsia"/>
        </w:rPr>
        <w:t>，當作為試點的葵青區康健中心開始投入服務後，政府應該著手規劃於深水埗區及其他人口特徵（如長者人口、收入狀況等）相近的地區</w:t>
      </w:r>
      <w:r w:rsidR="00B221E9">
        <w:rPr>
          <w:rFonts w:hint="eastAsia"/>
        </w:rPr>
        <w:t>（如觀塘、北區、元朗、黃大仙等）</w:t>
      </w:r>
      <w:r w:rsidR="00CC524E">
        <w:rPr>
          <w:rFonts w:hint="eastAsia"/>
        </w:rPr>
        <w:t>設立康健中心，以期望於本屆政府完結前最少</w:t>
      </w:r>
      <w:r w:rsidR="00107163">
        <w:rPr>
          <w:rFonts w:hint="eastAsia"/>
        </w:rPr>
        <w:t>有五個康健中心</w:t>
      </w:r>
      <w:r w:rsidR="00B221E9">
        <w:rPr>
          <w:rFonts w:hint="eastAsia"/>
        </w:rPr>
        <w:t>開展服務。</w:t>
      </w:r>
    </w:p>
    <w:p w:rsidR="00B221E9" w:rsidRDefault="00B221E9" w:rsidP="0021479B">
      <w:pPr>
        <w:jc w:val="both"/>
      </w:pPr>
    </w:p>
    <w:p w:rsidR="00987E40" w:rsidRDefault="00987E40" w:rsidP="0021479B">
      <w:pPr>
        <w:pStyle w:val="a6"/>
        <w:numPr>
          <w:ilvl w:val="0"/>
          <w:numId w:val="4"/>
        </w:numPr>
        <w:ind w:leftChars="0"/>
        <w:jc w:val="both"/>
      </w:pPr>
      <w:r>
        <w:rPr>
          <w:rFonts w:hint="eastAsia"/>
        </w:rPr>
        <w:t>文件第</w:t>
      </w:r>
      <w:r>
        <w:rPr>
          <w:rFonts w:hint="eastAsia"/>
        </w:rPr>
        <w:t>8</w:t>
      </w:r>
      <w:r>
        <w:rPr>
          <w:rFonts w:hint="eastAsia"/>
        </w:rPr>
        <w:t>段提及康健中心將優先處理五項慢性疾病及健康風險因素。</w:t>
      </w:r>
      <w:proofErr w:type="gramStart"/>
      <w:r>
        <w:rPr>
          <w:rFonts w:hint="eastAsia"/>
        </w:rPr>
        <w:t>社協認為</w:t>
      </w:r>
      <w:proofErr w:type="gramEnd"/>
      <w:r>
        <w:rPr>
          <w:rFonts w:hint="eastAsia"/>
        </w:rPr>
        <w:t>，除文件中列出的五項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市民同樣會患上各種慢性疾病或較罕見疾病。康健中心也應留意接受服務者的身體狀況及相關病徵，並因應情況作出建議及轉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。</w:t>
      </w:r>
      <w:r w:rsidR="00F149A5">
        <w:rPr>
          <w:rFonts w:hint="eastAsia"/>
        </w:rPr>
        <w:t>康健中心更應為特定群組，如長者、婦女、兒童等制定健康知識單張及身體檢查項目建議，以便有關</w:t>
      </w:r>
      <w:bookmarkStart w:id="0" w:name="_GoBack"/>
      <w:bookmarkEnd w:id="0"/>
      <w:r w:rsidR="00F149A5">
        <w:rPr>
          <w:rFonts w:hint="eastAsia"/>
        </w:rPr>
        <w:t>容易識別與群組有關的健康風險。</w:t>
      </w:r>
    </w:p>
    <w:p w:rsidR="00987E40" w:rsidRPr="00987E40" w:rsidRDefault="00987E40" w:rsidP="0021479B">
      <w:pPr>
        <w:jc w:val="both"/>
      </w:pPr>
    </w:p>
    <w:p w:rsidR="00B221E9" w:rsidRDefault="00CF46F1" w:rsidP="0021479B">
      <w:pPr>
        <w:pStyle w:val="a6"/>
        <w:numPr>
          <w:ilvl w:val="0"/>
          <w:numId w:val="4"/>
        </w:numPr>
        <w:ind w:leftChars="0"/>
        <w:jc w:val="both"/>
      </w:pPr>
      <w:r>
        <w:rPr>
          <w:rFonts w:hint="eastAsia"/>
        </w:rPr>
        <w:t>文件第</w:t>
      </w:r>
      <w:r>
        <w:rPr>
          <w:rFonts w:hint="eastAsia"/>
        </w:rPr>
        <w:t>18</w:t>
      </w:r>
      <w:r>
        <w:rPr>
          <w:rFonts w:hint="eastAsia"/>
        </w:rPr>
        <w:t>段提及康健中心營運者需發展基層醫療健康服務提供者的網絡，又要與社區內的非政府機構合作。</w:t>
      </w:r>
      <w:proofErr w:type="gramStart"/>
      <w:r>
        <w:rPr>
          <w:rFonts w:hint="eastAsia"/>
        </w:rPr>
        <w:t>社協認同</w:t>
      </w:r>
      <w:proofErr w:type="gramEnd"/>
      <w:r>
        <w:rPr>
          <w:rFonts w:hint="eastAsia"/>
        </w:rPr>
        <w:t>康健中心必須在社區內加強</w:t>
      </w:r>
      <w:r w:rsidRPr="00987E40">
        <w:rPr>
          <w:rFonts w:asciiTheme="minorEastAsia" w:hAnsiTheme="minorEastAsia" w:hint="eastAsia"/>
        </w:rPr>
        <w:t>「</w:t>
      </w:r>
      <w:r>
        <w:rPr>
          <w:rFonts w:hint="eastAsia"/>
        </w:rPr>
        <w:t>橫向連結</w:t>
      </w:r>
      <w:r w:rsidRPr="00987E40">
        <w:rPr>
          <w:rFonts w:asciiTheme="minorEastAsia" w:hAnsiTheme="minorEastAsia" w:hint="eastAsia"/>
        </w:rPr>
        <w:t>」</w:t>
      </w:r>
      <w:r>
        <w:rPr>
          <w:rFonts w:hint="eastAsia"/>
        </w:rPr>
        <w:t>，透過營運者</w:t>
      </w:r>
      <w:r w:rsidR="009D1DA1">
        <w:rPr>
          <w:rFonts w:hint="eastAsia"/>
        </w:rPr>
        <w:t>接觸區內市民，並轉</w:t>
      </w:r>
      <w:proofErr w:type="gramStart"/>
      <w:r w:rsidR="009D1DA1">
        <w:rPr>
          <w:rFonts w:hint="eastAsia"/>
        </w:rPr>
        <w:t>介</w:t>
      </w:r>
      <w:proofErr w:type="gramEnd"/>
      <w:r w:rsidR="009D1DA1">
        <w:rPr>
          <w:rFonts w:hint="eastAsia"/>
        </w:rPr>
        <w:t>至合適的服務提供者。無疑，非政府機構（如地區長者中心）在地區上已建立了社交網絡，</w:t>
      </w:r>
      <w:proofErr w:type="gramStart"/>
      <w:r w:rsidR="009D1DA1">
        <w:rPr>
          <w:rFonts w:hint="eastAsia"/>
        </w:rPr>
        <w:t>營運者故然</w:t>
      </w:r>
      <w:proofErr w:type="gramEnd"/>
      <w:r w:rsidR="009D1DA1">
        <w:rPr>
          <w:rFonts w:hint="eastAsia"/>
        </w:rPr>
        <w:t>應該透過非政府機構接觸市民</w:t>
      </w:r>
      <w:r w:rsidR="004E69E3">
        <w:rPr>
          <w:rFonts w:hint="eastAsia"/>
        </w:rPr>
        <w:t>。</w:t>
      </w:r>
      <w:r w:rsidR="009D1DA1">
        <w:rPr>
          <w:rFonts w:hint="eastAsia"/>
        </w:rPr>
        <w:t>然而</w:t>
      </w:r>
      <w:r w:rsidR="004E69E3">
        <w:rPr>
          <w:rFonts w:hint="eastAsia"/>
        </w:rPr>
        <w:t>，</w:t>
      </w:r>
      <w:r w:rsidR="009D1DA1">
        <w:rPr>
          <w:rFonts w:hint="eastAsia"/>
        </w:rPr>
        <w:t>不可忽視的是</w:t>
      </w:r>
      <w:r w:rsidR="004E69E3">
        <w:rPr>
          <w:rFonts w:hint="eastAsia"/>
        </w:rPr>
        <w:t>，</w:t>
      </w:r>
      <w:r w:rsidR="009D1DA1">
        <w:rPr>
          <w:rFonts w:hint="eastAsia"/>
        </w:rPr>
        <w:t>地區上或有其他既有的網絡，如地區組織、</w:t>
      </w:r>
      <w:r w:rsidR="004E69E3">
        <w:rPr>
          <w:rFonts w:hint="eastAsia"/>
        </w:rPr>
        <w:t>宗教團體、學校家長會等，營運者同樣應該透過地區既有網絡，接觸市民從而提供服務。</w:t>
      </w:r>
    </w:p>
    <w:p w:rsidR="004E69E3" w:rsidRDefault="004E69E3" w:rsidP="0021479B">
      <w:pPr>
        <w:jc w:val="both"/>
      </w:pPr>
    </w:p>
    <w:p w:rsidR="004D7AF0" w:rsidRDefault="0015595F" w:rsidP="0021479B">
      <w:pPr>
        <w:pStyle w:val="a6"/>
        <w:numPr>
          <w:ilvl w:val="0"/>
          <w:numId w:val="4"/>
        </w:numPr>
        <w:ind w:leftChars="0"/>
        <w:jc w:val="both"/>
      </w:pPr>
      <w:r>
        <w:rPr>
          <w:rFonts w:hint="eastAsia"/>
        </w:rPr>
        <w:t>文件第</w:t>
      </w:r>
      <w:r>
        <w:rPr>
          <w:rFonts w:hint="eastAsia"/>
        </w:rPr>
        <w:t>23</w:t>
      </w:r>
      <w:r>
        <w:rPr>
          <w:rFonts w:hint="eastAsia"/>
        </w:rPr>
        <w:t>段提及</w:t>
      </w:r>
      <w:r w:rsidRPr="00987E40">
        <w:rPr>
          <w:rFonts w:asciiTheme="minorEastAsia" w:hAnsiTheme="minorEastAsia" w:hint="eastAsia"/>
        </w:rPr>
        <w:t>「</w:t>
      </w:r>
      <w:r>
        <w:rPr>
          <w:rFonts w:hint="eastAsia"/>
        </w:rPr>
        <w:t>康健中心營運者需要自行與網絡服務提供者簽訂合約</w:t>
      </w:r>
      <w:r w:rsidRPr="00987E40">
        <w:rPr>
          <w:rFonts w:asciiTheme="minorEastAsia" w:hAnsiTheme="minorEastAsia" w:hint="eastAsia"/>
        </w:rPr>
        <w:t>」</w:t>
      </w:r>
      <w:r>
        <w:rPr>
          <w:rFonts w:hint="eastAsia"/>
        </w:rPr>
        <w:t>。</w:t>
      </w:r>
      <w:proofErr w:type="gramStart"/>
      <w:r>
        <w:rPr>
          <w:rFonts w:hint="eastAsia"/>
        </w:rPr>
        <w:t>社協認為</w:t>
      </w:r>
      <w:proofErr w:type="gramEnd"/>
      <w:r>
        <w:rPr>
          <w:rFonts w:hint="eastAsia"/>
        </w:rPr>
        <w:t>，政府</w:t>
      </w:r>
      <w:proofErr w:type="gramStart"/>
      <w:r>
        <w:rPr>
          <w:rFonts w:hint="eastAsia"/>
        </w:rPr>
        <w:t>雖然外判康健</w:t>
      </w:r>
      <w:proofErr w:type="gramEnd"/>
      <w:r>
        <w:rPr>
          <w:rFonts w:hint="eastAsia"/>
        </w:rPr>
        <w:t>中心的服務予營運者，但也應全力作出支援，例如與各醫療專業團體溝通，協助尋找地區上合適的服務提供者供營運者商討合作細節。</w:t>
      </w:r>
    </w:p>
    <w:p w:rsidR="0015595F" w:rsidRDefault="0015595F" w:rsidP="0021479B">
      <w:pPr>
        <w:jc w:val="both"/>
      </w:pPr>
    </w:p>
    <w:p w:rsidR="0015595F" w:rsidRDefault="0015595F" w:rsidP="0021479B">
      <w:pPr>
        <w:pStyle w:val="a6"/>
        <w:numPr>
          <w:ilvl w:val="0"/>
          <w:numId w:val="4"/>
        </w:numPr>
        <w:ind w:leftChars="0"/>
        <w:jc w:val="both"/>
      </w:pPr>
      <w:r>
        <w:rPr>
          <w:rFonts w:hint="eastAsia"/>
        </w:rPr>
        <w:t>文件第</w:t>
      </w:r>
      <w:r>
        <w:rPr>
          <w:rFonts w:hint="eastAsia"/>
        </w:rPr>
        <w:t>2</w:t>
      </w:r>
      <w:r w:rsidR="00BD264B">
        <w:rPr>
          <w:rFonts w:hint="eastAsia"/>
        </w:rPr>
        <w:t>6</w:t>
      </w:r>
      <w:r>
        <w:rPr>
          <w:rFonts w:hint="eastAsia"/>
        </w:rPr>
        <w:t>至</w:t>
      </w:r>
      <w:r w:rsidR="00BD264B">
        <w:rPr>
          <w:rFonts w:hint="eastAsia"/>
        </w:rPr>
        <w:t>28</w:t>
      </w:r>
      <w:r>
        <w:rPr>
          <w:rFonts w:hint="eastAsia"/>
        </w:rPr>
        <w:t>段提及康健中心計劃進行的健康推廣服務。文件中列出的服務內容與現時地區上各團體及組織所舉辦的類近</w:t>
      </w:r>
      <w:r w:rsidR="00BD264B">
        <w:rPr>
          <w:rFonts w:hint="eastAsia"/>
        </w:rPr>
        <w:t>。</w:t>
      </w:r>
      <w:proofErr w:type="gramStart"/>
      <w:r w:rsidR="00BD264B">
        <w:rPr>
          <w:rFonts w:hint="eastAsia"/>
        </w:rPr>
        <w:t>社協期望</w:t>
      </w:r>
      <w:proofErr w:type="gramEnd"/>
      <w:r w:rsidR="00BD264B">
        <w:rPr>
          <w:rFonts w:hint="eastAsia"/>
        </w:rPr>
        <w:t>康健中心投入服務後，能透過創新方法，接觸目標參與者，及更有效令他們改善生活習慣，預防疾病，改善健康。</w:t>
      </w:r>
    </w:p>
    <w:p w:rsidR="00BD264B" w:rsidRDefault="00BD264B" w:rsidP="0021479B">
      <w:pPr>
        <w:jc w:val="both"/>
      </w:pPr>
    </w:p>
    <w:p w:rsidR="00BD264B" w:rsidRDefault="00BD264B" w:rsidP="0021479B">
      <w:pPr>
        <w:pStyle w:val="a6"/>
        <w:numPr>
          <w:ilvl w:val="0"/>
          <w:numId w:val="4"/>
        </w:numPr>
        <w:ind w:leftChars="0"/>
        <w:jc w:val="both"/>
      </w:pPr>
      <w:r>
        <w:rPr>
          <w:rFonts w:hint="eastAsia"/>
        </w:rPr>
        <w:t>文件第</w:t>
      </w:r>
      <w:r>
        <w:rPr>
          <w:rFonts w:hint="eastAsia"/>
        </w:rPr>
        <w:t>29</w:t>
      </w:r>
      <w:r>
        <w:rPr>
          <w:rFonts w:hint="eastAsia"/>
        </w:rPr>
        <w:t>至</w:t>
      </w:r>
      <w:r>
        <w:rPr>
          <w:rFonts w:hint="eastAsia"/>
        </w:rPr>
        <w:t>31</w:t>
      </w:r>
      <w:r>
        <w:rPr>
          <w:rFonts w:hint="eastAsia"/>
        </w:rPr>
        <w:t>段提及康健中心計劃進行的健康評估服務。文件中列出康健中心將提供基本健康風險評估</w:t>
      </w:r>
      <w:r w:rsidR="001A1CAD">
        <w:rPr>
          <w:rFonts w:hint="eastAsia"/>
        </w:rPr>
        <w:t>，以及早發現慢性疾病及健康風險因素</w:t>
      </w:r>
      <w:r>
        <w:rPr>
          <w:rFonts w:hint="eastAsia"/>
        </w:rPr>
        <w:t>。</w:t>
      </w:r>
      <w:proofErr w:type="gramStart"/>
      <w:r w:rsidR="001A1CAD">
        <w:rPr>
          <w:rFonts w:hint="eastAsia"/>
        </w:rPr>
        <w:t>社協期望</w:t>
      </w:r>
      <w:proofErr w:type="gramEnd"/>
      <w:r w:rsidR="001A1CAD">
        <w:rPr>
          <w:rFonts w:hint="eastAsia"/>
        </w:rPr>
        <w:t>康健中心除</w:t>
      </w:r>
      <w:proofErr w:type="gramStart"/>
      <w:r w:rsidR="001A1CAD">
        <w:rPr>
          <w:rFonts w:hint="eastAsia"/>
        </w:rPr>
        <w:t>以篩查</w:t>
      </w:r>
      <w:proofErr w:type="gramEnd"/>
      <w:r w:rsidR="001A1CAD">
        <w:rPr>
          <w:rFonts w:hint="eastAsia"/>
        </w:rPr>
        <w:t>方式為目標人士進行評估外，也應為較高風險的群組，如長者、婦女、</w:t>
      </w:r>
      <w:r w:rsidR="001A1CAD">
        <w:rPr>
          <w:rFonts w:hint="eastAsia"/>
        </w:rPr>
        <w:t>45</w:t>
      </w:r>
      <w:r w:rsidR="001A1CAD">
        <w:rPr>
          <w:rFonts w:hint="eastAsia"/>
        </w:rPr>
        <w:t>歲以上人士、兒童等作定期檢查，以監察他們的健康狀況變化，以期及早作適當介入。</w:t>
      </w:r>
    </w:p>
    <w:p w:rsidR="001A1CAD" w:rsidRDefault="001A1CAD" w:rsidP="0021479B">
      <w:pPr>
        <w:jc w:val="both"/>
      </w:pPr>
    </w:p>
    <w:p w:rsidR="001A1CAD" w:rsidRPr="00987E40" w:rsidRDefault="001A1CAD" w:rsidP="0021479B">
      <w:pPr>
        <w:pStyle w:val="a6"/>
        <w:numPr>
          <w:ilvl w:val="0"/>
          <w:numId w:val="4"/>
        </w:numPr>
        <w:ind w:leftChars="0"/>
        <w:jc w:val="both"/>
        <w:rPr>
          <w:rFonts w:asciiTheme="minorEastAsia" w:hAnsiTheme="minorEastAsia"/>
        </w:rPr>
      </w:pPr>
      <w:r>
        <w:rPr>
          <w:rFonts w:hint="eastAsia"/>
        </w:rPr>
        <w:t>文件第</w:t>
      </w:r>
      <w:r>
        <w:rPr>
          <w:rFonts w:hint="eastAsia"/>
        </w:rPr>
        <w:t>32</w:t>
      </w:r>
      <w:r>
        <w:rPr>
          <w:rFonts w:hint="eastAsia"/>
        </w:rPr>
        <w:t>至</w:t>
      </w:r>
      <w:r>
        <w:rPr>
          <w:rFonts w:hint="eastAsia"/>
        </w:rPr>
        <w:t>33</w:t>
      </w:r>
      <w:r>
        <w:rPr>
          <w:rFonts w:hint="eastAsia"/>
        </w:rPr>
        <w:t>段</w:t>
      </w:r>
      <w:r w:rsidR="00F47998">
        <w:rPr>
          <w:rFonts w:hint="eastAsia"/>
        </w:rPr>
        <w:t>及</w:t>
      </w:r>
      <w:r w:rsidR="00F47998">
        <w:rPr>
          <w:rFonts w:hint="eastAsia"/>
        </w:rPr>
        <w:t>34</w:t>
      </w:r>
      <w:r w:rsidR="00F47998">
        <w:rPr>
          <w:rFonts w:hint="eastAsia"/>
        </w:rPr>
        <w:t>至</w:t>
      </w:r>
      <w:r w:rsidR="00F47998">
        <w:rPr>
          <w:rFonts w:hint="eastAsia"/>
        </w:rPr>
        <w:t>36</w:t>
      </w:r>
      <w:r w:rsidR="00F47998">
        <w:rPr>
          <w:rFonts w:hint="eastAsia"/>
        </w:rPr>
        <w:t>段分別</w:t>
      </w:r>
      <w:r>
        <w:rPr>
          <w:rFonts w:hint="eastAsia"/>
        </w:rPr>
        <w:t>提及康健中心計劃進行的</w:t>
      </w:r>
      <w:r w:rsidR="00F47998">
        <w:rPr>
          <w:rFonts w:hint="eastAsia"/>
        </w:rPr>
        <w:t>慢性疾病管理及社區復康</w:t>
      </w:r>
      <w:r>
        <w:rPr>
          <w:rFonts w:hint="eastAsia"/>
        </w:rPr>
        <w:t>服務。文件中列出</w:t>
      </w:r>
      <w:r w:rsidR="00F47998">
        <w:rPr>
          <w:rFonts w:hint="eastAsia"/>
        </w:rPr>
        <w:t>服務並未提及如何與</w:t>
      </w:r>
      <w:proofErr w:type="gramStart"/>
      <w:r w:rsidR="00F47998">
        <w:rPr>
          <w:rFonts w:hint="eastAsia"/>
        </w:rPr>
        <w:t>醫</w:t>
      </w:r>
      <w:proofErr w:type="gramEnd"/>
      <w:r w:rsidR="00F47998">
        <w:rPr>
          <w:rFonts w:hint="eastAsia"/>
        </w:rPr>
        <w:t>管局加強溝通及合作，為公立醫院的慢性病患者或有復康需要的病人在地區上提供支援。</w:t>
      </w:r>
      <w:proofErr w:type="gramStart"/>
      <w:r w:rsidR="00F47998">
        <w:rPr>
          <w:rFonts w:hint="eastAsia"/>
        </w:rPr>
        <w:t>社協認為</w:t>
      </w:r>
      <w:proofErr w:type="gramEnd"/>
      <w:r w:rsidR="00F47998">
        <w:rPr>
          <w:rFonts w:hint="eastAsia"/>
        </w:rPr>
        <w:t>康復中心應加強</w:t>
      </w:r>
      <w:r w:rsidR="00F47998" w:rsidRPr="00987E40">
        <w:rPr>
          <w:rFonts w:asciiTheme="minorEastAsia" w:hAnsiTheme="minorEastAsia" w:hint="eastAsia"/>
        </w:rPr>
        <w:t>「</w:t>
      </w:r>
      <w:r w:rsidR="00F47998">
        <w:rPr>
          <w:rFonts w:hint="eastAsia"/>
        </w:rPr>
        <w:t>縱向連結</w:t>
      </w:r>
      <w:r w:rsidR="00F47998" w:rsidRPr="00987E40">
        <w:rPr>
          <w:rFonts w:asciiTheme="minorEastAsia" w:hAnsiTheme="minorEastAsia" w:hint="eastAsia"/>
        </w:rPr>
        <w:t>」，透過電子健康紀錄系統，在有需要時為康健中心的服務使用者與公立醫院聯繫溝通，以便在地區上更有效地進行慢性疾病管理（例如若公立醫院病人覆診時，醫生調整了控制血壓藥物，該病人回家</w:t>
      </w:r>
      <w:r w:rsidR="000D767D" w:rsidRPr="00987E40">
        <w:rPr>
          <w:rFonts w:asciiTheme="minorEastAsia" w:hAnsiTheme="minorEastAsia" w:hint="eastAsia"/>
        </w:rPr>
        <w:t>服藥</w:t>
      </w:r>
      <w:r w:rsidR="00F47998" w:rsidRPr="00987E40">
        <w:rPr>
          <w:rFonts w:asciiTheme="minorEastAsia" w:hAnsiTheme="minorEastAsia" w:hint="eastAsia"/>
        </w:rPr>
        <w:t>後出現不適，可在區內更方便地聯絡康健中心，</w:t>
      </w:r>
      <w:r w:rsidR="000D767D" w:rsidRPr="00987E40">
        <w:rPr>
          <w:rFonts w:asciiTheme="minorEastAsia" w:hAnsiTheme="minorEastAsia" w:hint="eastAsia"/>
        </w:rPr>
        <w:t>再與有關專科盡快商討有關藥物問題）。另外，文件中提及的社區復康服務，除接受</w:t>
      </w:r>
      <w:proofErr w:type="gramStart"/>
      <w:r w:rsidR="000D767D" w:rsidRPr="00987E40">
        <w:rPr>
          <w:rFonts w:asciiTheme="minorEastAsia" w:hAnsiTheme="minorEastAsia" w:hint="eastAsia"/>
        </w:rPr>
        <w:t>醫</w:t>
      </w:r>
      <w:proofErr w:type="gramEnd"/>
      <w:r w:rsidR="000D767D" w:rsidRPr="00987E40">
        <w:rPr>
          <w:rFonts w:asciiTheme="minorEastAsia" w:hAnsiTheme="minorEastAsia" w:hint="eastAsia"/>
        </w:rPr>
        <w:t>管局的轉</w:t>
      </w:r>
      <w:proofErr w:type="gramStart"/>
      <w:r w:rsidR="000D767D" w:rsidRPr="00987E40">
        <w:rPr>
          <w:rFonts w:asciiTheme="minorEastAsia" w:hAnsiTheme="minorEastAsia" w:hint="eastAsia"/>
        </w:rPr>
        <w:t>介</w:t>
      </w:r>
      <w:proofErr w:type="gramEnd"/>
      <w:r w:rsidR="000D767D" w:rsidRPr="00987E40">
        <w:rPr>
          <w:rFonts w:asciiTheme="minorEastAsia" w:hAnsiTheme="minorEastAsia" w:hint="eastAsia"/>
        </w:rPr>
        <w:t>外，康復中心也應與作轉</w:t>
      </w:r>
      <w:proofErr w:type="gramStart"/>
      <w:r w:rsidR="000D767D" w:rsidRPr="00987E40">
        <w:rPr>
          <w:rFonts w:asciiTheme="minorEastAsia" w:hAnsiTheme="minorEastAsia" w:hint="eastAsia"/>
        </w:rPr>
        <w:t>介</w:t>
      </w:r>
      <w:proofErr w:type="gramEnd"/>
      <w:r w:rsidR="000D767D" w:rsidRPr="00987E40">
        <w:rPr>
          <w:rFonts w:asciiTheme="minorEastAsia" w:hAnsiTheme="minorEastAsia" w:hint="eastAsia"/>
        </w:rPr>
        <w:t>的公立醫院保持緊密聯繫，商討病人的康復進展，並作出適當調整。</w:t>
      </w:r>
    </w:p>
    <w:p w:rsidR="000D767D" w:rsidRDefault="000D767D" w:rsidP="0021479B">
      <w:pPr>
        <w:jc w:val="both"/>
        <w:rPr>
          <w:rFonts w:asciiTheme="minorEastAsia" w:hAnsiTheme="minorEastAsia"/>
        </w:rPr>
      </w:pPr>
    </w:p>
    <w:p w:rsidR="00191BF2" w:rsidRDefault="000D767D" w:rsidP="0021479B">
      <w:pPr>
        <w:pStyle w:val="a6"/>
        <w:numPr>
          <w:ilvl w:val="0"/>
          <w:numId w:val="4"/>
        </w:numPr>
        <w:ind w:leftChars="0"/>
        <w:jc w:val="both"/>
      </w:pPr>
      <w:r>
        <w:rPr>
          <w:rFonts w:hint="eastAsia"/>
        </w:rPr>
        <w:t>文件第</w:t>
      </w:r>
      <w:r>
        <w:rPr>
          <w:rFonts w:hint="eastAsia"/>
        </w:rPr>
        <w:t>37</w:t>
      </w:r>
      <w:r w:rsidR="00191BF2">
        <w:rPr>
          <w:rFonts w:hint="eastAsia"/>
        </w:rPr>
        <w:t>段</w:t>
      </w:r>
      <w:r>
        <w:rPr>
          <w:rFonts w:hint="eastAsia"/>
        </w:rPr>
        <w:t>提及政府</w:t>
      </w:r>
      <w:r w:rsidR="00191BF2">
        <w:rPr>
          <w:rFonts w:hint="eastAsia"/>
        </w:rPr>
        <w:t>對醫療諮詢服務</w:t>
      </w:r>
      <w:r>
        <w:rPr>
          <w:rFonts w:hint="eastAsia"/>
        </w:rPr>
        <w:t>提供的資助。</w:t>
      </w:r>
      <w:r w:rsidR="005F5AE3">
        <w:rPr>
          <w:rFonts w:hint="eastAsia"/>
        </w:rPr>
        <w:t>政府計劃為醫療諮詢服務設劃一補貼，並交由康健中心網絡醫生自行</w:t>
      </w:r>
      <w:proofErr w:type="gramStart"/>
      <w:r w:rsidR="005F5AE3">
        <w:rPr>
          <w:rFonts w:hint="eastAsia"/>
        </w:rPr>
        <w:t>決定需否向</w:t>
      </w:r>
      <w:proofErr w:type="gramEnd"/>
      <w:r w:rsidR="005F5AE3">
        <w:rPr>
          <w:rFonts w:hint="eastAsia"/>
        </w:rPr>
        <w:t>病人額外收費。</w:t>
      </w:r>
      <w:proofErr w:type="gramStart"/>
      <w:r w:rsidR="005F5AE3">
        <w:rPr>
          <w:rFonts w:hint="eastAsia"/>
        </w:rPr>
        <w:t>社</w:t>
      </w:r>
      <w:r w:rsidR="005F5AE3">
        <w:rPr>
          <w:rFonts w:hint="eastAsia"/>
        </w:rPr>
        <w:lastRenderedPageBreak/>
        <w:t>協認為</w:t>
      </w:r>
      <w:proofErr w:type="gramEnd"/>
      <w:r w:rsidR="00B4616E">
        <w:rPr>
          <w:rFonts w:hint="eastAsia"/>
        </w:rPr>
        <w:t>，醫療諮詢服務與現時公立醫院的家庭醫學診所的服務類似，</w:t>
      </w:r>
      <w:r w:rsidR="005F5AE3">
        <w:rPr>
          <w:rFonts w:hint="eastAsia"/>
        </w:rPr>
        <w:t>政府</w:t>
      </w:r>
      <w:r w:rsidR="00B4616E">
        <w:rPr>
          <w:rFonts w:hint="eastAsia"/>
        </w:rPr>
        <w:t>應參考公立醫院相關服務津貼水平，為接受醫療諮詢服務的市民</w:t>
      </w:r>
      <w:r w:rsidR="005F5AE3">
        <w:rPr>
          <w:rFonts w:hint="eastAsia"/>
        </w:rPr>
        <w:t>提供</w:t>
      </w:r>
      <w:r w:rsidR="00B4616E">
        <w:rPr>
          <w:rFonts w:hint="eastAsia"/>
        </w:rPr>
        <w:t>九成的資助。</w:t>
      </w:r>
      <w:r w:rsidR="00B4616E">
        <w:rPr>
          <w:rStyle w:val="a5"/>
        </w:rPr>
        <w:footnoteReference w:id="3"/>
      </w:r>
    </w:p>
    <w:p w:rsidR="00191BF2" w:rsidRDefault="00191BF2" w:rsidP="0021479B">
      <w:pPr>
        <w:jc w:val="both"/>
      </w:pPr>
    </w:p>
    <w:p w:rsidR="000D767D" w:rsidRDefault="00191BF2" w:rsidP="0021479B">
      <w:pPr>
        <w:pStyle w:val="a6"/>
        <w:numPr>
          <w:ilvl w:val="0"/>
          <w:numId w:val="4"/>
        </w:numPr>
        <w:ind w:leftChars="0"/>
        <w:jc w:val="both"/>
      </w:pPr>
      <w:r>
        <w:rPr>
          <w:rFonts w:hint="eastAsia"/>
        </w:rPr>
        <w:t>文件第</w:t>
      </w:r>
      <w:r>
        <w:rPr>
          <w:rFonts w:hint="eastAsia"/>
        </w:rPr>
        <w:t>38</w:t>
      </w:r>
      <w:r>
        <w:rPr>
          <w:rFonts w:hint="eastAsia"/>
        </w:rPr>
        <w:t>段提及康健中心其他服務的收費。文件列明</w:t>
      </w:r>
      <w:r w:rsidR="00A80722">
        <w:rPr>
          <w:rFonts w:hint="eastAsia"/>
        </w:rPr>
        <w:t>政府會參考非政府機構的收費，</w:t>
      </w:r>
      <w:r>
        <w:rPr>
          <w:rFonts w:hint="eastAsia"/>
        </w:rPr>
        <w:t>為</w:t>
      </w:r>
      <w:r w:rsidR="00A80722">
        <w:rPr>
          <w:rFonts w:hint="eastAsia"/>
        </w:rPr>
        <w:t>由康健中心營運者或網絡服務提供者提供出的</w:t>
      </w:r>
      <w:r>
        <w:rPr>
          <w:rFonts w:hint="eastAsia"/>
        </w:rPr>
        <w:t>這些服務訂立收費上限水平</w:t>
      </w:r>
      <w:r w:rsidR="00A80722">
        <w:rPr>
          <w:rFonts w:hint="eastAsia"/>
        </w:rPr>
        <w:t>。現時非政府機構的收費水平雖然已屬非牟利性質，但也需要三數百元不等，對有醫療健康需要的基層市民造成額外負擔。</w:t>
      </w:r>
      <w:proofErr w:type="gramStart"/>
      <w:r w:rsidR="00A80722">
        <w:rPr>
          <w:rFonts w:hint="eastAsia"/>
        </w:rPr>
        <w:t>社協認為</w:t>
      </w:r>
      <w:proofErr w:type="gramEnd"/>
      <w:r w:rsidR="00A80722">
        <w:rPr>
          <w:rFonts w:hint="eastAsia"/>
        </w:rPr>
        <w:t>，由康健中心營運者應免費提供的有關服務，其成本應由政府額外資助。另外，由網絡服務提供者提供的，政府應參考前段對於醫療諮詢服務的資助水平建議，為服務提供九成的資助。</w:t>
      </w:r>
    </w:p>
    <w:p w:rsidR="000D767D" w:rsidRDefault="000D767D" w:rsidP="0021479B">
      <w:pPr>
        <w:jc w:val="both"/>
        <w:rPr>
          <w:lang w:eastAsia="zh-HK"/>
        </w:rPr>
      </w:pPr>
    </w:p>
    <w:p w:rsidR="008E2010" w:rsidRDefault="008E2010" w:rsidP="0021479B">
      <w:pPr>
        <w:pStyle w:val="a6"/>
        <w:numPr>
          <w:ilvl w:val="0"/>
          <w:numId w:val="4"/>
        </w:numPr>
        <w:ind w:leftChars="0"/>
        <w:jc w:val="both"/>
      </w:pPr>
      <w:r>
        <w:rPr>
          <w:rFonts w:hint="eastAsia"/>
        </w:rPr>
        <w:t>文件第</w:t>
      </w:r>
      <w:r>
        <w:rPr>
          <w:rFonts w:hint="eastAsia"/>
        </w:rPr>
        <w:t>39</w:t>
      </w:r>
      <w:r>
        <w:rPr>
          <w:rFonts w:hint="eastAsia"/>
        </w:rPr>
        <w:t>段提及政府提供的資助，包括容許病人在康健中心內使用醫療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領取綜援病人</w:t>
      </w:r>
      <w:proofErr w:type="gramEnd"/>
      <w:r>
        <w:rPr>
          <w:rFonts w:hint="eastAsia"/>
        </w:rPr>
        <w:t>可報銷康健中心的服務費用、</w:t>
      </w:r>
      <w:r>
        <w:rPr>
          <w:rFonts w:hint="eastAsia"/>
        </w:rPr>
        <w:t>75</w:t>
      </w:r>
      <w:r>
        <w:rPr>
          <w:rFonts w:hint="eastAsia"/>
        </w:rPr>
        <w:t>歲或以上的高額長者生活津貼受惠人可減免費用等。</w:t>
      </w:r>
      <w:proofErr w:type="gramStart"/>
      <w:r>
        <w:rPr>
          <w:rFonts w:hint="eastAsia"/>
        </w:rPr>
        <w:t>社協認為</w:t>
      </w:r>
      <w:proofErr w:type="gramEnd"/>
      <w:r>
        <w:rPr>
          <w:rFonts w:hint="eastAsia"/>
        </w:rPr>
        <w:t>，為確保有經濟困難市民不會因經濟考慮而放棄接受健康服務，政府應放寛可獲額外資助的條件至現時正領取政府津貼的人士，例如在職家庭津貼、</w:t>
      </w:r>
      <w:r>
        <w:rPr>
          <w:rFonts w:hint="eastAsia"/>
        </w:rPr>
        <w:t>65</w:t>
      </w:r>
      <w:r>
        <w:rPr>
          <w:rFonts w:hint="eastAsia"/>
        </w:rPr>
        <w:t>歲或以上的長者生活津貼、學生書簿津貼、交通津貼等的受惠人，同樣可免費接受康健中心及網絡服務提供者的基層醫療健康服務。</w:t>
      </w:r>
    </w:p>
    <w:p w:rsidR="008E2010" w:rsidRDefault="008E2010" w:rsidP="0021479B">
      <w:pPr>
        <w:jc w:val="both"/>
      </w:pPr>
    </w:p>
    <w:p w:rsidR="00520A57" w:rsidRDefault="00431B18" w:rsidP="0021479B">
      <w:pPr>
        <w:jc w:val="both"/>
      </w:pPr>
      <w:r>
        <w:rPr>
          <w:rFonts w:hint="eastAsia"/>
        </w:rPr>
        <w:t xml:space="preserve">　　</w:t>
      </w:r>
      <w:proofErr w:type="gramStart"/>
      <w:r w:rsidR="00987E40">
        <w:rPr>
          <w:rFonts w:hint="eastAsia"/>
        </w:rPr>
        <w:t>社協過往</w:t>
      </w:r>
      <w:proofErr w:type="gramEnd"/>
      <w:r w:rsidR="00987E40">
        <w:rPr>
          <w:rFonts w:hint="eastAsia"/>
        </w:rPr>
        <w:t>也曾就多個群組的醫療健康需要進行調查研究及撰寫意見書</w:t>
      </w:r>
      <w:r>
        <w:rPr>
          <w:rFonts w:hint="eastAsia"/>
        </w:rPr>
        <w:t>，詳情請參閱附件。</w:t>
      </w:r>
      <w:r w:rsidR="00520A57">
        <w:rPr>
          <w:rStyle w:val="a5"/>
        </w:rPr>
        <w:footnoteReference w:id="4"/>
      </w:r>
      <w:r>
        <w:rPr>
          <w:rFonts w:hint="eastAsia"/>
        </w:rPr>
        <w:t>總括而言，基層市民因應社經狀況較</w:t>
      </w:r>
      <w:r w:rsidR="00520A57">
        <w:rPr>
          <w:rFonts w:hint="eastAsia"/>
        </w:rPr>
        <w:t>差</w:t>
      </w:r>
      <w:r>
        <w:rPr>
          <w:rFonts w:hint="eastAsia"/>
        </w:rPr>
        <w:t>，面對醫療健康需要時，政府必須提供容易獲取（</w:t>
      </w:r>
      <w:r>
        <w:rPr>
          <w:rFonts w:hint="eastAsia"/>
          <w:lang w:eastAsia="zh-HK"/>
        </w:rPr>
        <w:t>accessible</w:t>
      </w:r>
      <w:r>
        <w:rPr>
          <w:rFonts w:hint="eastAsia"/>
        </w:rPr>
        <w:t>）及可負擔甚或免費（</w:t>
      </w:r>
      <w:r>
        <w:rPr>
          <w:rFonts w:hint="eastAsia"/>
          <w:lang w:eastAsia="zh-HK"/>
        </w:rPr>
        <w:t>affordable</w:t>
      </w:r>
      <w:r>
        <w:rPr>
          <w:rFonts w:hint="eastAsia"/>
        </w:rPr>
        <w:t>）的服務。另外，</w:t>
      </w:r>
      <w:r w:rsidR="00520A57">
        <w:rPr>
          <w:rFonts w:hint="eastAsia"/>
        </w:rPr>
        <w:t>基層市民因健康意識較低，又應經濟能力較弱，往往忽略</w:t>
      </w:r>
      <w:r>
        <w:rPr>
          <w:rFonts w:hint="eastAsia"/>
        </w:rPr>
        <w:t>基層醫療健康</w:t>
      </w:r>
      <w:r w:rsidR="00520A57">
        <w:rPr>
          <w:rFonts w:hint="eastAsia"/>
        </w:rPr>
        <w:t>的需要，推遲接受有關服務，直至病情嚴重才到公立醫院求醫。</w:t>
      </w:r>
    </w:p>
    <w:p w:rsidR="00520A57" w:rsidRDefault="00520A57" w:rsidP="0021479B">
      <w:pPr>
        <w:jc w:val="both"/>
      </w:pPr>
    </w:p>
    <w:p w:rsidR="008E2010" w:rsidRDefault="00520A57" w:rsidP="0021479B">
      <w:pPr>
        <w:jc w:val="both"/>
      </w:pPr>
      <w:r>
        <w:rPr>
          <w:rFonts w:hint="eastAsia"/>
        </w:rPr>
        <w:t xml:space="preserve">　　針對基層市民的情況，</w:t>
      </w:r>
      <w:proofErr w:type="gramStart"/>
      <w:r>
        <w:rPr>
          <w:rFonts w:hint="eastAsia"/>
        </w:rPr>
        <w:t>社協認為</w:t>
      </w:r>
      <w:proofErr w:type="gramEnd"/>
      <w:r>
        <w:rPr>
          <w:rFonts w:hint="eastAsia"/>
        </w:rPr>
        <w:t>政府必須在發展基層醫療健康服務時，方便市民容易接觸到有關服務，同時亦必須減低有關服務的收費，更應免費為有經濟困難的人士（即正在領取政府津貼的受惠人）提供服務，才能鼓勵他們盡早關注自身健康。</w:t>
      </w:r>
    </w:p>
    <w:p w:rsidR="0021479B" w:rsidRDefault="0021479B" w:rsidP="0021479B">
      <w:pPr>
        <w:jc w:val="both"/>
      </w:pPr>
    </w:p>
    <w:p w:rsidR="0021479B" w:rsidRPr="00A80722" w:rsidRDefault="0021479B" w:rsidP="0021479B">
      <w:pPr>
        <w:jc w:val="both"/>
      </w:pPr>
      <w:r>
        <w:rPr>
          <w:rFonts w:hint="eastAsia"/>
        </w:rPr>
        <w:t>二零一八年七月十二日</w:t>
      </w:r>
    </w:p>
    <w:sectPr w:rsidR="0021479B" w:rsidRPr="00A807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A8" w:rsidRDefault="00613BA8" w:rsidP="003C5637">
      <w:r>
        <w:separator/>
      </w:r>
    </w:p>
  </w:endnote>
  <w:endnote w:type="continuationSeparator" w:id="0">
    <w:p w:rsidR="00613BA8" w:rsidRDefault="00613BA8" w:rsidP="003C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A8" w:rsidRDefault="00613BA8" w:rsidP="003C5637">
      <w:r>
        <w:separator/>
      </w:r>
    </w:p>
  </w:footnote>
  <w:footnote w:type="continuationSeparator" w:id="0">
    <w:p w:rsidR="00613BA8" w:rsidRDefault="00613BA8" w:rsidP="003C5637">
      <w:r>
        <w:continuationSeparator/>
      </w:r>
    </w:p>
  </w:footnote>
  <w:footnote w:id="1">
    <w:p w:rsidR="008E2010" w:rsidRDefault="008E201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立法會</w:t>
      </w:r>
      <w:r>
        <w:rPr>
          <w:rFonts w:hint="eastAsia"/>
          <w:lang w:eastAsia="zh-HK"/>
        </w:rPr>
        <w:t>CB(2)1787/17-18(01)</w:t>
      </w:r>
      <w:r>
        <w:rPr>
          <w:rFonts w:hint="eastAsia"/>
        </w:rPr>
        <w:t>號文件</w:t>
      </w:r>
    </w:p>
  </w:footnote>
  <w:footnote w:id="2">
    <w:p w:rsidR="008E2010" w:rsidRDefault="008E201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按</w:t>
      </w:r>
      <w:r>
        <w:rPr>
          <w:rFonts w:hint="eastAsia"/>
        </w:rPr>
        <w:t>2016</w:t>
      </w:r>
      <w:r>
        <w:rPr>
          <w:rFonts w:hint="eastAsia"/>
        </w:rPr>
        <w:t>年中期人口普查數據顯示，葵青區</w:t>
      </w:r>
      <w:r>
        <w:rPr>
          <w:rFonts w:hint="eastAsia"/>
        </w:rPr>
        <w:t>65</w:t>
      </w:r>
      <w:r>
        <w:rPr>
          <w:rFonts w:hint="eastAsia"/>
        </w:rPr>
        <w:t>歲或以上長者人口比例為</w:t>
      </w:r>
      <w:r>
        <w:rPr>
          <w:rFonts w:hint="eastAsia"/>
        </w:rPr>
        <w:t>16.7%</w:t>
      </w:r>
      <w:r>
        <w:rPr>
          <w:rFonts w:hint="eastAsia"/>
        </w:rPr>
        <w:t>，稍高於深水埗區的</w:t>
      </w:r>
      <w:r>
        <w:rPr>
          <w:rFonts w:hint="eastAsia"/>
        </w:rPr>
        <w:t>15.9%</w:t>
      </w:r>
      <w:r>
        <w:rPr>
          <w:rFonts w:hint="eastAsia"/>
        </w:rPr>
        <w:t>，但葵青區的</w:t>
      </w:r>
      <w:r w:rsidRPr="00741CA6">
        <w:rPr>
          <w:rFonts w:hint="eastAsia"/>
        </w:rPr>
        <w:t>主要職業收入少於一萬元的工作人口比例</w:t>
      </w:r>
      <w:r>
        <w:rPr>
          <w:rFonts w:hint="eastAsia"/>
        </w:rPr>
        <w:t>為</w:t>
      </w:r>
      <w:r>
        <w:rPr>
          <w:rFonts w:hint="eastAsia"/>
        </w:rPr>
        <w:t>12.8%</w:t>
      </w:r>
      <w:r>
        <w:rPr>
          <w:rFonts w:hint="eastAsia"/>
        </w:rPr>
        <w:t>，低於深水埗區的</w:t>
      </w:r>
      <w:r>
        <w:rPr>
          <w:rFonts w:hint="eastAsia"/>
        </w:rPr>
        <w:t>14.2%</w:t>
      </w:r>
      <w:r>
        <w:rPr>
          <w:rFonts w:hint="eastAsia"/>
        </w:rPr>
        <w:t>，前者的每月收入少於一萬元的住戶比例為</w:t>
      </w:r>
      <w:r>
        <w:rPr>
          <w:rFonts w:hint="eastAsia"/>
        </w:rPr>
        <w:t>20.2%</w:t>
      </w:r>
      <w:r>
        <w:rPr>
          <w:rFonts w:hint="eastAsia"/>
        </w:rPr>
        <w:t>，低於後者的</w:t>
      </w:r>
      <w:r>
        <w:rPr>
          <w:rFonts w:hint="eastAsia"/>
        </w:rPr>
        <w:t>21.3%</w:t>
      </w:r>
      <w:r>
        <w:rPr>
          <w:rFonts w:hint="eastAsia"/>
        </w:rPr>
        <w:t>。另外，葵青區的住戶每月收入中位數為</w:t>
      </w:r>
      <w:r w:rsidRPr="00CC524E">
        <w:t>21 600</w:t>
      </w:r>
      <w:r>
        <w:rPr>
          <w:rFonts w:hint="eastAsia"/>
        </w:rPr>
        <w:t>元，高於深水埗區的</w:t>
      </w:r>
      <w:r>
        <w:rPr>
          <w:rFonts w:hint="eastAsia"/>
        </w:rPr>
        <w:t>20 000</w:t>
      </w:r>
      <w:r>
        <w:rPr>
          <w:rFonts w:hint="eastAsia"/>
        </w:rPr>
        <w:t>元。</w:t>
      </w:r>
    </w:p>
  </w:footnote>
  <w:footnote w:id="3">
    <w:p w:rsidR="008E2010" w:rsidRPr="0021479B" w:rsidRDefault="008E201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現時公立醫院普通科門診收費為</w:t>
      </w:r>
      <w:r>
        <w:rPr>
          <w:rFonts w:hint="eastAsia"/>
        </w:rPr>
        <w:t>50</w:t>
      </w:r>
      <w:r>
        <w:rPr>
          <w:rFonts w:hint="eastAsia"/>
        </w:rPr>
        <w:t>元，成本為</w:t>
      </w:r>
      <w:r>
        <w:rPr>
          <w:rFonts w:hint="eastAsia"/>
        </w:rPr>
        <w:t>445</w:t>
      </w:r>
      <w:r>
        <w:rPr>
          <w:rFonts w:hint="eastAsia"/>
        </w:rPr>
        <w:t>元，即政府為求診市民提</w:t>
      </w:r>
      <w:r w:rsidRPr="0021479B">
        <w:t>供約九成津貼。</w:t>
      </w:r>
    </w:p>
  </w:footnote>
  <w:footnote w:id="4">
    <w:p w:rsidR="00520A57" w:rsidRDefault="00520A57" w:rsidP="00520A57">
      <w:pPr>
        <w:pStyle w:val="a3"/>
      </w:pPr>
      <w:r w:rsidRPr="0021479B">
        <w:rPr>
          <w:rStyle w:val="a5"/>
        </w:rPr>
        <w:footnoteRef/>
      </w:r>
      <w:r w:rsidRPr="0021479B">
        <w:t xml:space="preserve"> </w:t>
      </w:r>
      <w:r w:rsidRPr="0021479B">
        <w:t>附件包括：</w:t>
      </w:r>
      <w:r w:rsidRPr="0021479B">
        <w:t>2018</w:t>
      </w:r>
      <w:r w:rsidRPr="0021479B">
        <w:t>年</w:t>
      </w:r>
      <w:r w:rsidRPr="0021479B">
        <w:t>6</w:t>
      </w:r>
      <w:r w:rsidRPr="0021479B">
        <w:t>月的〈長者基層醫療健康意見書〉、</w:t>
      </w:r>
      <w:r w:rsidRPr="0021479B">
        <w:t>2018</w:t>
      </w:r>
      <w:r w:rsidRPr="0021479B">
        <w:t>年</w:t>
      </w:r>
      <w:r w:rsidRPr="0021479B">
        <w:t>5</w:t>
      </w:r>
      <w:r w:rsidRPr="0021479B">
        <w:t>月的〈基層婦女使用醫療服務情況調查報告〉及</w:t>
      </w:r>
      <w:r w:rsidRPr="0021479B">
        <w:t>2016</w:t>
      </w:r>
      <w:r w:rsidRPr="0021479B">
        <w:t>年</w:t>
      </w:r>
      <w:r w:rsidRPr="0021479B">
        <w:t>7</w:t>
      </w:r>
      <w:r w:rsidRPr="0021479B">
        <w:t>月的〈貧窮兒童健康及使用醫療服務調查報告</w:t>
      </w:r>
      <w:r w:rsidR="0021479B" w:rsidRPr="0021479B">
        <w:t>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1339"/>
    <w:multiLevelType w:val="hybridMultilevel"/>
    <w:tmpl w:val="6308AB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2A06FB"/>
    <w:multiLevelType w:val="hybridMultilevel"/>
    <w:tmpl w:val="0832D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3735E6"/>
    <w:multiLevelType w:val="hybridMultilevel"/>
    <w:tmpl w:val="DF4E42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BD17C4"/>
    <w:multiLevelType w:val="hybridMultilevel"/>
    <w:tmpl w:val="D550EE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65"/>
    <w:rsid w:val="00027A94"/>
    <w:rsid w:val="00036CB1"/>
    <w:rsid w:val="0004769F"/>
    <w:rsid w:val="00071437"/>
    <w:rsid w:val="00075345"/>
    <w:rsid w:val="000B1DAF"/>
    <w:rsid w:val="000B235A"/>
    <w:rsid w:val="000B24AF"/>
    <w:rsid w:val="000D767D"/>
    <w:rsid w:val="00103BE8"/>
    <w:rsid w:val="00107163"/>
    <w:rsid w:val="00154FD5"/>
    <w:rsid w:val="0015595F"/>
    <w:rsid w:val="0015598B"/>
    <w:rsid w:val="00162905"/>
    <w:rsid w:val="00181911"/>
    <w:rsid w:val="00187E90"/>
    <w:rsid w:val="00191BF2"/>
    <w:rsid w:val="0019605F"/>
    <w:rsid w:val="001A1CAD"/>
    <w:rsid w:val="001B3C8C"/>
    <w:rsid w:val="001C0CDB"/>
    <w:rsid w:val="001E31BE"/>
    <w:rsid w:val="0021479B"/>
    <w:rsid w:val="002559FB"/>
    <w:rsid w:val="002806ED"/>
    <w:rsid w:val="002F12DE"/>
    <w:rsid w:val="0032502A"/>
    <w:rsid w:val="0033104B"/>
    <w:rsid w:val="0033778E"/>
    <w:rsid w:val="0034468E"/>
    <w:rsid w:val="00360102"/>
    <w:rsid w:val="003C558D"/>
    <w:rsid w:val="003C5637"/>
    <w:rsid w:val="00415382"/>
    <w:rsid w:val="00430CAD"/>
    <w:rsid w:val="00431B18"/>
    <w:rsid w:val="00432864"/>
    <w:rsid w:val="004402E9"/>
    <w:rsid w:val="00453AE0"/>
    <w:rsid w:val="00473C27"/>
    <w:rsid w:val="00483632"/>
    <w:rsid w:val="004A0D60"/>
    <w:rsid w:val="004B1F35"/>
    <w:rsid w:val="004B2A32"/>
    <w:rsid w:val="004B3C6B"/>
    <w:rsid w:val="004C5384"/>
    <w:rsid w:val="004D7AF0"/>
    <w:rsid w:val="004E69E3"/>
    <w:rsid w:val="004F37C2"/>
    <w:rsid w:val="00520A57"/>
    <w:rsid w:val="00560D9A"/>
    <w:rsid w:val="0057344E"/>
    <w:rsid w:val="005838A2"/>
    <w:rsid w:val="005956AC"/>
    <w:rsid w:val="005C7DAE"/>
    <w:rsid w:val="005F5AE3"/>
    <w:rsid w:val="00613BA8"/>
    <w:rsid w:val="00643A7B"/>
    <w:rsid w:val="00650761"/>
    <w:rsid w:val="00657366"/>
    <w:rsid w:val="0067114C"/>
    <w:rsid w:val="006965BC"/>
    <w:rsid w:val="006B42B1"/>
    <w:rsid w:val="006B56AC"/>
    <w:rsid w:val="006C7477"/>
    <w:rsid w:val="006D3CF5"/>
    <w:rsid w:val="006E4E9A"/>
    <w:rsid w:val="006F7CDE"/>
    <w:rsid w:val="007018F5"/>
    <w:rsid w:val="00722344"/>
    <w:rsid w:val="00723342"/>
    <w:rsid w:val="007330C4"/>
    <w:rsid w:val="00741CA6"/>
    <w:rsid w:val="00761C3F"/>
    <w:rsid w:val="007751D3"/>
    <w:rsid w:val="00782565"/>
    <w:rsid w:val="007A0BFB"/>
    <w:rsid w:val="007A2ADF"/>
    <w:rsid w:val="00807509"/>
    <w:rsid w:val="008415D0"/>
    <w:rsid w:val="0086512E"/>
    <w:rsid w:val="00870FFF"/>
    <w:rsid w:val="008A5084"/>
    <w:rsid w:val="008D479E"/>
    <w:rsid w:val="008D6AAB"/>
    <w:rsid w:val="008E2010"/>
    <w:rsid w:val="008F2695"/>
    <w:rsid w:val="00902107"/>
    <w:rsid w:val="009044BC"/>
    <w:rsid w:val="00914B7C"/>
    <w:rsid w:val="00976167"/>
    <w:rsid w:val="00987E40"/>
    <w:rsid w:val="009B38D0"/>
    <w:rsid w:val="009D1DA1"/>
    <w:rsid w:val="009D5A43"/>
    <w:rsid w:val="00A2614A"/>
    <w:rsid w:val="00A528EF"/>
    <w:rsid w:val="00A618C4"/>
    <w:rsid w:val="00A75B1C"/>
    <w:rsid w:val="00A80722"/>
    <w:rsid w:val="00A95B54"/>
    <w:rsid w:val="00AA34D0"/>
    <w:rsid w:val="00AC16F2"/>
    <w:rsid w:val="00B07CD9"/>
    <w:rsid w:val="00B16431"/>
    <w:rsid w:val="00B221E9"/>
    <w:rsid w:val="00B4616E"/>
    <w:rsid w:val="00BC11C7"/>
    <w:rsid w:val="00BC5096"/>
    <w:rsid w:val="00BD264B"/>
    <w:rsid w:val="00C01945"/>
    <w:rsid w:val="00C34873"/>
    <w:rsid w:val="00C37AD6"/>
    <w:rsid w:val="00C41DF2"/>
    <w:rsid w:val="00C56DCD"/>
    <w:rsid w:val="00C916B4"/>
    <w:rsid w:val="00C9630C"/>
    <w:rsid w:val="00CC524E"/>
    <w:rsid w:val="00CD6190"/>
    <w:rsid w:val="00CF07B3"/>
    <w:rsid w:val="00CF46F1"/>
    <w:rsid w:val="00D236A1"/>
    <w:rsid w:val="00D24BA9"/>
    <w:rsid w:val="00D44613"/>
    <w:rsid w:val="00D5577C"/>
    <w:rsid w:val="00D94FB3"/>
    <w:rsid w:val="00DC5D4B"/>
    <w:rsid w:val="00DD1E77"/>
    <w:rsid w:val="00DE23BD"/>
    <w:rsid w:val="00E54949"/>
    <w:rsid w:val="00E709FB"/>
    <w:rsid w:val="00E903A5"/>
    <w:rsid w:val="00E94CE9"/>
    <w:rsid w:val="00EA0C09"/>
    <w:rsid w:val="00EB7BD1"/>
    <w:rsid w:val="00F149A5"/>
    <w:rsid w:val="00F47998"/>
    <w:rsid w:val="00F70773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563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3C56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5637"/>
    <w:rPr>
      <w:vertAlign w:val="superscript"/>
    </w:rPr>
  </w:style>
  <w:style w:type="paragraph" w:styleId="a6">
    <w:name w:val="List Paragraph"/>
    <w:basedOn w:val="a"/>
    <w:uiPriority w:val="34"/>
    <w:qFormat/>
    <w:rsid w:val="00987E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563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3C56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5637"/>
    <w:rPr>
      <w:vertAlign w:val="superscript"/>
    </w:rPr>
  </w:style>
  <w:style w:type="paragraph" w:styleId="a6">
    <w:name w:val="List Paragraph"/>
    <w:basedOn w:val="a"/>
    <w:uiPriority w:val="34"/>
    <w:qFormat/>
    <w:rsid w:val="00987E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3CE8-EEAC-4B88-912B-B9F4CEB4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384</Words>
  <Characters>2190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SoCO_TIM</dc:creator>
  <cp:lastModifiedBy>SoCO_TIM</cp:lastModifiedBy>
  <cp:revision>2</cp:revision>
  <dcterms:created xsi:type="dcterms:W3CDTF">2018-07-11T04:59:00Z</dcterms:created>
  <dcterms:modified xsi:type="dcterms:W3CDTF">2018-07-11T11:23:00Z</dcterms:modified>
</cp:coreProperties>
</file>