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C1" w:rsidRPr="00554402" w:rsidRDefault="00E90CC1" w:rsidP="00554402">
      <w:pPr>
        <w:spacing w:line="300" w:lineRule="exact"/>
        <w:jc w:val="center"/>
        <w:rPr>
          <w:rFonts w:ascii="Times New Roman" w:eastAsiaTheme="majorEastAsia" w:hAnsi="Times New Roman" w:cs="Times New Roman"/>
          <w:b/>
          <w:color w:val="auto"/>
          <w:sz w:val="27"/>
          <w:szCs w:val="27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sz w:val="27"/>
          <w:szCs w:val="27"/>
          <w:lang w:eastAsia="zh-TW"/>
        </w:rPr>
        <w:t>香港社區組織協會</w:t>
      </w:r>
    </w:p>
    <w:p w:rsidR="00D83429" w:rsidRPr="00554402" w:rsidRDefault="00E90CC1" w:rsidP="00554402">
      <w:pPr>
        <w:spacing w:line="300" w:lineRule="exact"/>
        <w:jc w:val="center"/>
        <w:rPr>
          <w:rFonts w:ascii="Times New Roman" w:eastAsiaTheme="majorEastAsia" w:hAnsi="Times New Roman" w:cs="Times New Roman"/>
          <w:b/>
          <w:color w:val="auto"/>
          <w:sz w:val="27"/>
          <w:szCs w:val="27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sz w:val="27"/>
          <w:szCs w:val="27"/>
          <w:lang w:eastAsia="zh-TW"/>
        </w:rPr>
        <w:t>「百人圍瞓禮賓府」</w:t>
      </w:r>
      <w:r w:rsidR="00554402" w:rsidRPr="00554402">
        <w:rPr>
          <w:rFonts w:ascii="Times New Roman" w:eastAsiaTheme="majorEastAsia" w:hAnsi="Times New Roman" w:cs="Times New Roman"/>
          <w:b/>
          <w:color w:val="auto"/>
          <w:sz w:val="27"/>
          <w:szCs w:val="27"/>
          <w:lang w:eastAsia="zh-TW"/>
        </w:rPr>
        <w:t>新聞稿</w:t>
      </w:r>
    </w:p>
    <w:p w:rsidR="00D83429" w:rsidRPr="00554402" w:rsidRDefault="008D0A82" w:rsidP="00554402">
      <w:pPr>
        <w:spacing w:line="300" w:lineRule="exact"/>
        <w:jc w:val="both"/>
        <w:rPr>
          <w:rFonts w:ascii="Times New Roman" w:eastAsiaTheme="majorEastAsia" w:hAnsi="Times New Roman" w:cs="Times New Roman"/>
          <w:b/>
          <w:color w:val="auto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lang w:eastAsia="zh-TW"/>
        </w:rPr>
        <w:t xml:space="preserve"> </w:t>
      </w:r>
    </w:p>
    <w:p w:rsidR="00F6036D" w:rsidRPr="00554402" w:rsidRDefault="00655C76" w:rsidP="00554402">
      <w:pPr>
        <w:spacing w:line="300" w:lineRule="exact"/>
        <w:jc w:val="both"/>
        <w:rPr>
          <w:rFonts w:ascii="Times New Roman" w:eastAsiaTheme="majorEastAsia" w:hAnsi="Times New Roman" w:cs="Times New Roman"/>
          <w:color w:val="auto"/>
          <w:lang w:eastAsia="zh-TW"/>
        </w:rPr>
      </w:pPr>
      <w:r w:rsidRPr="00554402">
        <w:rPr>
          <w:rFonts w:ascii="Times New Roman" w:eastAsiaTheme="majorEastAsia" w:hAnsi="Times New Roman" w:cs="Times New Roman"/>
          <w:color w:val="auto"/>
          <w:lang w:eastAsia="zh-TW"/>
        </w:rPr>
        <w:t xml:space="preserve">    </w:t>
      </w:r>
      <w:r w:rsidRPr="00554402">
        <w:rPr>
          <w:rFonts w:ascii="Times New Roman" w:eastAsiaTheme="majorEastAsia" w:hAnsi="Times New Roman" w:cs="Times New Roman"/>
          <w:color w:val="auto"/>
          <w:lang w:eastAsia="zh-TW"/>
        </w:rPr>
        <w:t>昨日特區政府剛公佈最新貧窮數字，貧窮人口表面上雖</w:t>
      </w:r>
      <w:r w:rsidR="009742DA" w:rsidRPr="00554402">
        <w:rPr>
          <w:rFonts w:ascii="Times New Roman" w:eastAsiaTheme="majorEastAsia" w:hAnsi="Times New Roman" w:cs="Times New Roman"/>
          <w:color w:val="auto"/>
          <w:lang w:eastAsia="zh-TW"/>
        </w:rPr>
        <w:t>然</w:t>
      </w:r>
      <w:r w:rsidRPr="00554402">
        <w:rPr>
          <w:rFonts w:ascii="Times New Roman" w:eastAsiaTheme="majorEastAsia" w:hAnsi="Times New Roman" w:cs="Times New Roman"/>
          <w:color w:val="auto"/>
          <w:lang w:eastAsia="zh-TW"/>
        </w:rPr>
        <w:t>下跌，</w:t>
      </w:r>
      <w:r w:rsidRPr="00554402">
        <w:rPr>
          <w:rFonts w:ascii="Times New Roman" w:eastAsiaTheme="majorEastAsia" w:hAnsi="Times New Roman" w:cs="Times New Roman"/>
          <w:b/>
          <w:color w:val="auto"/>
          <w:lang w:eastAsia="zh-TW"/>
        </w:rPr>
        <w:t>但計算貧窮線水平上並未有考慮市民租金支出部份</w:t>
      </w:r>
      <w:r w:rsidR="009742DA" w:rsidRPr="00554402">
        <w:rPr>
          <w:rFonts w:ascii="Times New Roman" w:eastAsiaTheme="majorEastAsia" w:hAnsi="Times New Roman" w:cs="Times New Roman"/>
          <w:color w:val="auto"/>
          <w:lang w:eastAsia="zh-TW"/>
        </w:rPr>
        <w:t>，致使貧窮數字並未能反映貧窮實況</w:t>
      </w:r>
      <w:r w:rsidR="00881C32" w:rsidRPr="00554402">
        <w:rPr>
          <w:rFonts w:ascii="Times New Roman" w:eastAsiaTheme="majorEastAsia" w:hAnsi="Times New Roman" w:cs="Times New Roman"/>
          <w:color w:val="auto"/>
          <w:lang w:eastAsia="zh-TW"/>
        </w:rPr>
        <w:t>，也未能反映</w:t>
      </w:r>
      <w:r w:rsidR="00F6036D" w:rsidRPr="00554402">
        <w:rPr>
          <w:rFonts w:ascii="Times New Roman" w:eastAsiaTheme="majorEastAsia" w:hAnsi="Times New Roman" w:cs="Times New Roman"/>
          <w:color w:val="auto"/>
          <w:lang w:eastAsia="zh-TW"/>
        </w:rPr>
        <w:t>數以萬戶基層市民</w:t>
      </w:r>
      <w:r w:rsidR="000576A4" w:rsidRPr="00554402">
        <w:rPr>
          <w:rFonts w:ascii="Times New Roman" w:eastAsiaTheme="majorEastAsia" w:hAnsi="Times New Roman" w:cs="Times New Roman"/>
          <w:color w:val="auto"/>
          <w:lang w:eastAsia="zh-TW"/>
        </w:rPr>
        <w:t>居於惡劣</w:t>
      </w:r>
      <w:r w:rsidR="00F6036D" w:rsidRPr="00554402">
        <w:rPr>
          <w:rFonts w:ascii="Times New Roman" w:eastAsiaTheme="majorEastAsia" w:hAnsi="Times New Roman" w:cs="Times New Roman"/>
          <w:color w:val="auto"/>
          <w:lang w:eastAsia="zh-TW"/>
        </w:rPr>
        <w:t>住屋環境</w:t>
      </w:r>
      <w:r w:rsidR="000576A4" w:rsidRPr="00554402">
        <w:rPr>
          <w:rFonts w:ascii="Times New Roman" w:eastAsiaTheme="majorEastAsia" w:hAnsi="Times New Roman" w:cs="Times New Roman"/>
          <w:color w:val="auto"/>
          <w:lang w:eastAsia="zh-TW"/>
        </w:rPr>
        <w:t>的現況。</w:t>
      </w:r>
    </w:p>
    <w:p w:rsidR="00554402" w:rsidRDefault="000576A4" w:rsidP="00554402">
      <w:pPr>
        <w:spacing w:line="300" w:lineRule="exact"/>
        <w:jc w:val="both"/>
        <w:rPr>
          <w:rFonts w:ascii="Times New Roman" w:eastAsiaTheme="majorEastAsia" w:hAnsi="Times New Roman" w:cs="Mangal"/>
          <w:color w:val="auto"/>
          <w:szCs w:val="24"/>
          <w:cs/>
        </w:rPr>
      </w:pP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 xml:space="preserve">    </w:t>
      </w:r>
      <w:r w:rsidRPr="00554402">
        <w:rPr>
          <w:rFonts w:ascii="Times New Roman" w:eastAsiaTheme="majorEastAsia" w:hAnsi="Times New Roman" w:cs="Times New Roman"/>
          <w:szCs w:val="24"/>
        </w:rPr>
        <w:t>根據香港統計處剛公佈的《香港分間樓宇單位的住屋狀況》，即使未包括村屋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及</w:t>
      </w:r>
      <w:r w:rsidRPr="00554402">
        <w:rPr>
          <w:rFonts w:ascii="Times New Roman" w:eastAsiaTheme="majorEastAsia" w:hAnsi="Times New Roman" w:cs="Times New Roman"/>
          <w:szCs w:val="24"/>
        </w:rPr>
        <w:t>工廈單位，但全港居於分間樓宇單位住戶共有</w:t>
      </w:r>
      <w:r w:rsidRPr="00554402">
        <w:rPr>
          <w:rFonts w:ascii="Times New Roman" w:eastAsiaTheme="majorEastAsia" w:hAnsi="Times New Roman" w:cs="Times New Roman"/>
          <w:szCs w:val="24"/>
        </w:rPr>
        <w:t>85,500</w:t>
      </w:r>
      <w:r w:rsidRPr="00554402">
        <w:rPr>
          <w:rFonts w:ascii="Times New Roman" w:eastAsiaTheme="majorEastAsia" w:hAnsi="Times New Roman" w:cs="Times New Roman"/>
          <w:szCs w:val="24"/>
        </w:rPr>
        <w:t>戶，共住有</w:t>
      </w:r>
      <w:r w:rsidRPr="00554402">
        <w:rPr>
          <w:rFonts w:ascii="Times New Roman" w:eastAsiaTheme="majorEastAsia" w:hAnsi="Times New Roman" w:cs="Times New Roman"/>
          <w:szCs w:val="24"/>
        </w:rPr>
        <w:t>19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5,</w:t>
      </w:r>
      <w:r w:rsidRPr="00554402">
        <w:rPr>
          <w:rFonts w:ascii="Times New Roman" w:eastAsiaTheme="majorEastAsia" w:hAnsi="Times New Roman" w:cs="Times New Roman"/>
          <w:szCs w:val="24"/>
        </w:rPr>
        <w:t>500</w:t>
      </w:r>
      <w:r w:rsidRPr="00554402">
        <w:rPr>
          <w:rFonts w:ascii="Times New Roman" w:eastAsiaTheme="majorEastAsia" w:hAnsi="Times New Roman" w:cs="Times New Roman"/>
          <w:szCs w:val="24"/>
        </w:rPr>
        <w:t>人，數字遠超</w:t>
      </w:r>
      <w:r w:rsidRPr="00554402">
        <w:rPr>
          <w:rFonts w:ascii="Times New Roman" w:eastAsiaTheme="majorEastAsia" w:hAnsi="Times New Roman" w:cs="Times New Roman"/>
          <w:szCs w:val="24"/>
        </w:rPr>
        <w:t>2011</w:t>
      </w:r>
      <w:r w:rsidRPr="00554402">
        <w:rPr>
          <w:rFonts w:ascii="Times New Roman" w:eastAsiaTheme="majorEastAsia" w:hAnsi="Times New Roman" w:cs="Times New Roman"/>
          <w:szCs w:val="24"/>
        </w:rPr>
        <w:t>年人口普查的</w:t>
      </w:r>
      <w:r w:rsidRPr="00554402">
        <w:rPr>
          <w:rFonts w:ascii="Times New Roman" w:eastAsiaTheme="majorEastAsia" w:hAnsi="Times New Roman" w:cs="Times New Roman"/>
          <w:szCs w:val="24"/>
        </w:rPr>
        <w:t>65,000</w:t>
      </w:r>
      <w:r w:rsidRPr="00554402">
        <w:rPr>
          <w:rFonts w:ascii="Times New Roman" w:eastAsiaTheme="majorEastAsia" w:hAnsi="Times New Roman" w:cs="Times New Roman"/>
          <w:szCs w:val="24"/>
        </w:rPr>
        <w:t>人。這不但顯示劏房問題愈來愈嚴重，也反映政府之前一直低估問題嚴重性，以致影響房屋政策嚴重滯後，未能回應市民房屋訴求。</w:t>
      </w:r>
      <w:r w:rsidRPr="00554402">
        <w:rPr>
          <w:rFonts w:ascii="Times New Roman" w:eastAsiaTheme="majorEastAsia" w:hAnsi="Times New Roman" w:cs="Times New Roman"/>
          <w:b/>
          <w:szCs w:val="24"/>
        </w:rPr>
        <w:t>基層市民一直希望儘快上樓，告別劏房生活，以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圓其｢公屋夢｣。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可是，截止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2015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年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6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月，公屋輪候冊上共有超過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28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萬宗申請，其中超過一半為非長者單身人士。居民輪候公屋時間遠超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5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年情況屢見不鮮，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3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年上樓承諾破產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，基層市民苦不堪言</w:t>
      </w:r>
      <w:r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。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結果，劏房住客只能捱貴租，繼續在惡劣環境下生活。</w:t>
      </w:r>
    </w:p>
    <w:p w:rsidR="00DA03C8" w:rsidRPr="00554402" w:rsidRDefault="000576A4" w:rsidP="00554402">
      <w:pPr>
        <w:spacing w:line="300" w:lineRule="exact"/>
        <w:ind w:firstLine="480"/>
        <w:jc w:val="both"/>
        <w:rPr>
          <w:rFonts w:ascii="Times New Roman" w:eastAsiaTheme="majorEastAsia" w:hAnsi="Times New Roman" w:cs="Times New Roman"/>
          <w:color w:val="auto"/>
          <w:szCs w:val="24"/>
        </w:rPr>
      </w:pPr>
      <w:r w:rsidRPr="00554402">
        <w:rPr>
          <w:rFonts w:ascii="Times New Roman" w:eastAsiaTheme="majorEastAsia" w:hAnsi="Times New Roman" w:cs="Times New Roman"/>
          <w:color w:val="auto"/>
          <w:lang w:eastAsia="zh-TW"/>
        </w:rPr>
        <w:t>適逢十月，有三個具代表性日子，分別為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10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月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5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日</w:t>
      </w:r>
      <w:r w:rsidRPr="00554402">
        <w:rPr>
          <w:rFonts w:ascii="Times New Roman" w:eastAsiaTheme="majorEastAsia" w:hAnsi="Times New Roman" w:cs="Times New Roman"/>
          <w:b/>
          <w:szCs w:val="24"/>
          <w:lang w:eastAsia="zh-TW"/>
        </w:rPr>
        <w:t>世界居所日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(World Habitat Day)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、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10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月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10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日</w:t>
      </w:r>
      <w:r w:rsidRPr="00554402">
        <w:rPr>
          <w:rFonts w:ascii="Times New Roman" w:eastAsiaTheme="majorEastAsia" w:hAnsi="Times New Roman" w:cs="Times New Roman"/>
          <w:b/>
          <w:szCs w:val="24"/>
          <w:lang w:eastAsia="zh-TW"/>
        </w:rPr>
        <w:t>世界無家者日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(World Homeless Day)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、以及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10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月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17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日</w:t>
      </w:r>
      <w:r w:rsidRPr="00554402">
        <w:rPr>
          <w:rFonts w:ascii="Times New Roman" w:eastAsiaTheme="majorEastAsia" w:hAnsi="Times New Roman" w:cs="Times New Roman"/>
          <w:b/>
          <w:szCs w:val="24"/>
          <w:lang w:eastAsia="zh-TW"/>
        </w:rPr>
        <w:t>國際滅貧日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(International Day for the Eradication of Poverty)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。而住屋本身</w:t>
      </w:r>
      <w:r w:rsidR="00B838D7" w:rsidRPr="00554402">
        <w:rPr>
          <w:rFonts w:ascii="Times New Roman" w:eastAsiaTheme="majorEastAsia" w:hAnsi="Times New Roman" w:cs="Times New Roman"/>
          <w:szCs w:val="24"/>
          <w:lang w:eastAsia="zh-TW"/>
        </w:rPr>
        <w:t>最能</w:t>
      </w: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>呈現</w:t>
      </w:r>
      <w:r w:rsidR="00B838D7" w:rsidRPr="00554402">
        <w:rPr>
          <w:rFonts w:ascii="Times New Roman" w:eastAsiaTheme="majorEastAsia" w:hAnsi="Times New Roman" w:cs="Times New Roman"/>
          <w:szCs w:val="24"/>
          <w:lang w:eastAsia="zh-TW"/>
        </w:rPr>
        <w:t>貧窮問題，</w:t>
      </w:r>
      <w:r w:rsidR="00B838D7" w:rsidRPr="00554402">
        <w:rPr>
          <w:rFonts w:ascii="Times New Roman" w:eastAsiaTheme="majorEastAsia" w:hAnsi="Times New Roman" w:cs="Times New Roman"/>
          <w:b/>
          <w:szCs w:val="24"/>
          <w:lang w:eastAsia="zh-TW"/>
        </w:rPr>
        <w:t>故本會與過百名居民圍瞓禮賓府</w:t>
      </w:r>
      <w:r w:rsidR="00B838D7" w:rsidRPr="00554402">
        <w:rPr>
          <w:rFonts w:ascii="Times New Roman" w:eastAsiaTheme="majorEastAsia" w:hAnsi="Times New Roman" w:cs="Times New Roman"/>
          <w:szCs w:val="24"/>
          <w:lang w:eastAsia="zh-TW"/>
        </w:rPr>
        <w:t>，要求特首</w:t>
      </w:r>
      <w:r w:rsidR="006A1E53" w:rsidRPr="00554402">
        <w:rPr>
          <w:rFonts w:ascii="Times New Roman" w:eastAsiaTheme="majorEastAsia" w:hAnsi="Times New Roman" w:cs="Times New Roman"/>
          <w:szCs w:val="24"/>
          <w:lang w:eastAsia="zh-TW"/>
        </w:rPr>
        <w:t>盡快制訂政策，改善基層市民住屋情況。</w:t>
      </w:r>
      <w:r w:rsidRPr="00554402">
        <w:rPr>
          <w:rFonts w:ascii="Microsoft YaHei" w:eastAsia="Microsoft YaHei" w:hAnsi="Microsoft YaHei" w:cs="Microsoft YaHei" w:hint="eastAsia"/>
          <w:szCs w:val="24"/>
        </w:rPr>
        <w:t>本會就有關現存政策問題，</w:t>
      </w:r>
      <w:r w:rsidRPr="00554402">
        <w:rPr>
          <w:rFonts w:ascii="Times New Roman" w:eastAsiaTheme="minorEastAsia" w:hAnsi="Times New Roman" w:cs="Times New Roman"/>
          <w:szCs w:val="24"/>
          <w:lang w:eastAsia="zh-TW"/>
        </w:rPr>
        <w:t>有</w:t>
      </w:r>
      <w:r w:rsidRPr="00554402">
        <w:rPr>
          <w:rFonts w:ascii="Microsoft YaHei" w:eastAsia="Microsoft YaHei" w:hAnsi="Microsoft YaHei" w:cs="Microsoft YaHei" w:hint="eastAsia"/>
          <w:szCs w:val="24"/>
        </w:rPr>
        <w:t>以下分析及建議：</w:t>
      </w:r>
    </w:p>
    <w:p w:rsidR="000576A4" w:rsidRPr="00554402" w:rsidRDefault="000576A4" w:rsidP="00554402">
      <w:pPr>
        <w:spacing w:line="300" w:lineRule="exact"/>
        <w:jc w:val="both"/>
        <w:rPr>
          <w:rFonts w:ascii="Times New Roman" w:eastAsiaTheme="majorEastAsia" w:hAnsi="Times New Roman" w:cs="Times New Roman"/>
          <w:color w:val="auto"/>
          <w:lang w:eastAsia="zh-TW"/>
        </w:rPr>
      </w:pPr>
    </w:p>
    <w:p w:rsidR="007F198B" w:rsidRDefault="00D4364A" w:rsidP="00554402">
      <w:pPr>
        <w:spacing w:line="300" w:lineRule="exact"/>
        <w:jc w:val="center"/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政策問題</w:t>
      </w:r>
    </w:p>
    <w:p w:rsidR="00B57C4F" w:rsidRPr="00554402" w:rsidRDefault="00B57C4F" w:rsidP="00554402">
      <w:pPr>
        <w:spacing w:line="300" w:lineRule="exact"/>
        <w:jc w:val="center"/>
        <w:rPr>
          <w:rFonts w:ascii="Times New Roman" w:hAnsi="Times New Roman" w:cs="Times New Roman" w:hint="eastAsia"/>
          <w:szCs w:val="24"/>
        </w:rPr>
      </w:pPr>
    </w:p>
    <w:p w:rsidR="00D83429" w:rsidRPr="00554402" w:rsidRDefault="00340085" w:rsidP="00554402">
      <w:pPr>
        <w:spacing w:line="300" w:lineRule="exact"/>
        <w:jc w:val="both"/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一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. </w:t>
      </w:r>
      <w:r w:rsidR="007F198B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近廿</w:t>
      </w:r>
      <w:r w:rsidR="00274C0F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萬人蝸居危樓</w:t>
      </w:r>
      <w:r w:rsidR="00274C0F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  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政府漠視基本住屋權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br/>
      </w:r>
      <w:r w:rsidR="007F198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 xml:space="preserve">    </w:t>
      </w:r>
      <w:r w:rsidR="003747C5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聯合國在</w:t>
      </w:r>
      <w:r w:rsidR="003747C5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1991</w:t>
      </w:r>
      <w:r w:rsidR="003747C5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年的提出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住屋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權的概念，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確認每個人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不論其年齡、經濟地位、</w:t>
      </w:r>
      <w:r w:rsidR="002C59AC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階級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或其他因素，均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有權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於一個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安全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而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適切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的地方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、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有尊嚴地居住</w:t>
      </w:r>
      <w:r w:rsidR="00871583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。</w:t>
      </w:r>
      <w:r w:rsidR="00871583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當中「</w:t>
      </w:r>
      <w:r w:rsidR="00871583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</w:rPr>
        <w:t>適切」的居所並非只是一個有</w:t>
      </w:r>
      <w:r w:rsidR="00871583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天花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</w:rPr>
        <w:t>地板，有牆壁圍封的空間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，</w:t>
      </w:r>
      <w:r w:rsidR="00871583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更需體現「住屋權」下</w:t>
      </w:r>
      <w:r w:rsidR="008D0A82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七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大</w:t>
      </w:r>
      <w:r w:rsidR="003853F5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條件</w:t>
      </w:r>
      <w:r w:rsidR="00BD2C34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：</w:t>
      </w:r>
      <w:r w:rsidR="00AF4268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即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固定及安全</w:t>
      </w:r>
      <w:r w:rsidR="003853F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、</w:t>
      </w:r>
      <w:r w:rsidR="0023717C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有足夠基本設施、</w:t>
      </w:r>
      <w:r w:rsidR="001A4A6C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可</w:t>
      </w:r>
      <w:r w:rsidR="001A4A6C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負擔</w:t>
      </w:r>
      <w:r w:rsidR="001A4A6C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、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合適居</w:t>
      </w:r>
      <w:r w:rsidR="003747C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住、</w:t>
      </w:r>
      <w:r w:rsidR="0023717C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適當地點、</w:t>
      </w:r>
      <w:r w:rsidR="001A4A6C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  <w:lang w:eastAsia="zh-TW"/>
        </w:rPr>
        <w:t>參與及共融，與及</w:t>
      </w:r>
      <w:r w:rsidR="003853F5" w:rsidRPr="00554402">
        <w:rPr>
          <w:rFonts w:ascii="Times New Roman" w:eastAsiaTheme="majorEastAsia" w:hAnsi="Times New Roman" w:cs="Times New Roman"/>
          <w:b/>
          <w:color w:val="auto"/>
          <w:szCs w:val="24"/>
          <w:shd w:val="clear" w:color="auto" w:fill="FFFFFF"/>
        </w:rPr>
        <w:t>免受任何形式的歧視。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根據香港統計處公佈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</w:t>
      </w:r>
      <w:r w:rsidRPr="00554402">
        <w:rPr>
          <w:rFonts w:ascii="Times New Roman" w:eastAsiaTheme="majorEastAsia" w:hAnsi="Times New Roman" w:cs="Times New Roman"/>
          <w:color w:val="auto"/>
          <w:szCs w:val="24"/>
        </w:rPr>
        <w:t>《香港分間樓宇單位的住屋狀況》</w:t>
      </w:r>
      <w:r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，全港有</w:t>
      </w:r>
      <w:r w:rsidR="008D0A8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85,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500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戶</w:t>
      </w:r>
      <w:r w:rsidR="00BD2C34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</w:t>
      </w:r>
      <w:r w:rsidR="00AF426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即</w:t>
      </w:r>
      <w:r w:rsidR="00BD2C34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195,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000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人居於分間樓</w:t>
      </w:r>
      <w:r w:rsidR="00BD2C34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宇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單位內。相比起兩年前政府委任政策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21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有限公司所做的同類型研究，當時只有</w:t>
      </w:r>
      <w:r w:rsidR="001D64F0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6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6</w:t>
      </w:r>
      <w:r w:rsidR="001D64F0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,9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00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戶，共</w:t>
      </w:r>
      <w:r w:rsidR="001D64F0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171,</w:t>
      </w:r>
      <w:r w:rsidR="005742C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300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人居於分間樓</w:t>
      </w:r>
      <w:r w:rsidR="00AF426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宇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單位內，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劏房遍地</w:t>
      </w:r>
      <w:r w:rsidR="000F71FE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開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花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，蝸居不適切居所的人數不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跌反升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。這群基層租客的居所危機四伏、缺乏基本設施、居住面積狹小、呎租超越豪宅、更要面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臨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業主無理迫遷的威脅，其住屋權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</w:rPr>
        <w:t>顯然不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能被</w:t>
      </w:r>
      <w:r w:rsidR="000F71FE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</w:rPr>
        <w:t>滿足。</w:t>
      </w:r>
      <w:r w:rsidR="001A4A6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政府眼見劏房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蔓延，房屋問題愈趨嚴重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；但政府</w:t>
      </w:r>
      <w:r w:rsidR="002C59AC" w:rsidRPr="00554402">
        <w:rPr>
          <w:rFonts w:ascii="Times New Roman" w:eastAsiaTheme="majorEastAsia" w:hAnsi="Times New Roman" w:cs="Times New Roman"/>
          <w:color w:val="auto"/>
          <w:szCs w:val="24"/>
          <w:shd w:val="clear" w:color="auto" w:fill="FFFFFF"/>
          <w:lang w:eastAsia="zh-TW"/>
        </w:rPr>
        <w:t>繼續無動於衷，未有在聆聽民意在政策上作出修訂，令人失望。</w:t>
      </w:r>
      <w:r w:rsidR="002C59AC" w:rsidRPr="00554402">
        <w:rPr>
          <w:rFonts w:ascii="Times New Roman" w:eastAsiaTheme="majorEastAsia" w:hAnsi="Times New Roman" w:cs="Times New Roman"/>
          <w:b/>
          <w:color w:val="FF0000"/>
          <w:szCs w:val="24"/>
          <w:lang w:eastAsia="zh-TW"/>
        </w:rPr>
        <w:t xml:space="preserve"> </w:t>
      </w:r>
      <w:r w:rsidRPr="00554402">
        <w:rPr>
          <w:rFonts w:ascii="Times New Roman" w:eastAsiaTheme="majorEastAsia" w:hAnsi="Times New Roman" w:cs="Times New Roman"/>
          <w:b/>
          <w:color w:val="FF0000"/>
          <w:szCs w:val="24"/>
          <w:lang w:eastAsia="zh-TW"/>
        </w:rPr>
        <w:br/>
      </w:r>
    </w:p>
    <w:p w:rsidR="009A7B3B" w:rsidRPr="00554402" w:rsidRDefault="00340085" w:rsidP="00554402">
      <w:pPr>
        <w:suppressAutoHyphens w:val="0"/>
        <w:spacing w:line="300" w:lineRule="exact"/>
        <w:jc w:val="both"/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</w:pP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二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. </w:t>
      </w:r>
      <w:r w:rsidR="004E1DEB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公屋興建供不應求，</w:t>
      </w:r>
      <w:r w:rsidR="009A7B3B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住屋問題不斷惡化</w:t>
      </w:r>
    </w:p>
    <w:p w:rsidR="00D57D0F" w:rsidRPr="00554402" w:rsidRDefault="00DB6FEE" w:rsidP="00554402">
      <w:pPr>
        <w:spacing w:line="300" w:lineRule="exact"/>
        <w:jc w:val="both"/>
        <w:rPr>
          <w:rFonts w:ascii="Times New Roman" w:eastAsiaTheme="majorEastAsia" w:hAnsi="Times New Roman" w:cs="Times New Roman"/>
          <w:color w:val="auto"/>
          <w:szCs w:val="24"/>
          <w:lang w:eastAsia="zh-TW"/>
        </w:rPr>
      </w:pPr>
      <w:r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 xml:space="preserve">    </w:t>
      </w:r>
      <w:r w:rsidR="004E6B4A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根據房委會最新的公佈數字，截至</w:t>
      </w:r>
      <w:r w:rsidR="004E6B4A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2015</w:t>
      </w:r>
      <w:r w:rsidR="004E6B4A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年</w:t>
      </w:r>
      <w:r w:rsidR="004E6B4A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6</w:t>
      </w:r>
      <w:r w:rsidR="004E6B4A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月，</w:t>
      </w:r>
      <w:r w:rsidR="004E6B4A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公屋輪候冊上整體申請已衝破</w:t>
      </w:r>
      <w:r w:rsidR="004E6B4A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28</w:t>
      </w:r>
      <w:r w:rsidR="004E6B4A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萬大關</w:t>
      </w:r>
      <w:r w:rsidR="003C304F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，而一般申請者的輪候時間亦已達</w:t>
      </w:r>
      <w:r w:rsidR="003C304F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3.4</w:t>
      </w:r>
      <w:r w:rsidR="003C304F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年。</w:t>
      </w:r>
      <w:r w:rsidR="000B5A69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但以上官方公佈的輪候時間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計法取巧，未能實際反映輪候冊上申請人苦等編配的情況。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截止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2014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年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6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月底，共有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28,300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個一般申請人輪候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3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年以上未獲第一次配屋，其中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輪候公屋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5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年以上而未獲配屋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的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一般申請人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更有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4,600</w:t>
      </w:r>
      <w:r w:rsidR="00D4364A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個</w:t>
      </w:r>
      <w:r w:rsidR="00D96A57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，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整體編配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>情況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比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2013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年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更為</w:t>
      </w:r>
      <w:r w:rsidR="00D4364A" w:rsidRPr="00554402">
        <w:rPr>
          <w:rFonts w:ascii="Times New Roman" w:eastAsiaTheme="majorEastAsia" w:hAnsi="Times New Roman" w:cs="Times New Roman"/>
          <w:color w:val="auto"/>
          <w:szCs w:val="24"/>
        </w:rPr>
        <w:t>惡化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。</w:t>
      </w:r>
      <w:r w:rsidR="003C304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面對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不斷增加的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房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屋需求，政府在上年底發表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&lt;&lt;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長遠房屋策略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&gt;&gt;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中推算出由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2015/16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年度至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2024/25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年度，未來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10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年的公營房屋供應目標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為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 xml:space="preserve"> 290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,</w:t>
      </w:r>
      <w:r w:rsidR="00C5213E" w:rsidRPr="00554402">
        <w:rPr>
          <w:rFonts w:ascii="Times New Roman" w:eastAsiaTheme="majorEastAsia" w:hAnsi="Times New Roman" w:cs="Times New Roman"/>
          <w:color w:val="auto"/>
          <w:szCs w:val="24"/>
        </w:rPr>
        <w:t>000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個單位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包括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>90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,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>000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個資助出售單位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及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>20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0,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</w:rPr>
        <w:t>000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</w:rPr>
        <w:t>個公屋</w:t>
      </w:r>
      <w:r w:rsidR="00B95128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單位</w:t>
      </w:r>
      <w:r w:rsidR="00D44AA6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。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但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在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數字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上，政府並未將公屋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</w:rPr>
        <w:t>輪候冊上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</w:rPr>
        <w:t>輪候個案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納入推算範圍之內</w:t>
      </w:r>
      <w:r w:rsidR="00D96A57" w:rsidRPr="00554402">
        <w:rPr>
          <w:rFonts w:ascii="Times New Roman" w:eastAsiaTheme="majorEastAsia" w:hAnsi="Times New Roman" w:cs="Times New Roman"/>
          <w:color w:val="auto"/>
          <w:szCs w:val="24"/>
        </w:rPr>
        <w:t>，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令人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質疑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此推算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嚴重低估了實際的需要。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平均每年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20,000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的公屋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</w:rPr>
        <w:t>興建量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，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根本無法消化現時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輪候冊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上等候已久的申請，再加上按季不斷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攀升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的申請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</w:rPr>
        <w:t>，輪候時間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勢必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不斷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</w:rPr>
        <w:t>延長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，基層市民只好繼續蝸居劏房，自求多福。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再者，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在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執行上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，</w:t>
      </w:r>
      <w:r w:rsidR="00BC579C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從覓地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阻礙到工程延誤，政府是否能如期落實十年建屋目標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亦</w:t>
      </w:r>
      <w:r w:rsidR="00E90CC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成疑。近月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政府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已</w:t>
      </w:r>
      <w:r w:rsidR="001F00F2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承認以現時找到的土地只足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夠建</w:t>
      </w:r>
      <w:r w:rsidR="00E90CC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近</w:t>
      </w:r>
      <w:r w:rsidR="00E90CC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25</w:t>
      </w:r>
      <w:r w:rsidR="00E90CC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萬個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單位，與長遠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</w:rPr>
        <w:t>房屋策略</w:t>
      </w:r>
      <w:r w:rsidR="009A7B3B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中定下的目標存在一定差距。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如政府延續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現時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｢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低決心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｣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、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｢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低力度</w:t>
      </w:r>
      <w:r w:rsidR="001C1FD1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｣</w:t>
      </w:r>
      <w:r w:rsidR="00D57D0F" w:rsidRPr="00554402">
        <w:rPr>
          <w:rFonts w:ascii="Times New Roman" w:eastAsiaTheme="majorEastAsia" w:hAnsi="Times New Roman" w:cs="Times New Roman"/>
          <w:color w:val="auto"/>
          <w:szCs w:val="24"/>
          <w:lang w:eastAsia="zh-TW"/>
        </w:rPr>
        <w:t>的房屋政策介入，香港的房屋問題只會不斷惡化，民不聊生。</w:t>
      </w:r>
    </w:p>
    <w:p w:rsidR="0074203F" w:rsidRDefault="0074203F" w:rsidP="00554402">
      <w:pPr>
        <w:spacing w:line="300" w:lineRule="exact"/>
        <w:jc w:val="both"/>
        <w:rPr>
          <w:rFonts w:ascii="Times New Roman" w:eastAsiaTheme="majorEastAsia" w:hAnsi="Times New Roman" w:cs="Mangal"/>
          <w:b/>
          <w:color w:val="auto"/>
          <w:szCs w:val="24"/>
          <w:cs/>
          <w:lang w:eastAsia="zh-TW"/>
        </w:rPr>
      </w:pPr>
    </w:p>
    <w:p w:rsidR="0074203F" w:rsidRPr="00554402" w:rsidRDefault="0074203F" w:rsidP="00554402">
      <w:pPr>
        <w:spacing w:line="300" w:lineRule="exact"/>
        <w:jc w:val="both"/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</w:pPr>
      <w:bookmarkStart w:id="0" w:name="_GoBack"/>
      <w:bookmarkEnd w:id="0"/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lastRenderedPageBreak/>
        <w:t>三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. 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配額計分雙重關卡，單身人士上樓夢碎</w:t>
      </w:r>
    </w:p>
    <w:p w:rsidR="000F3BAA" w:rsidRPr="00554402" w:rsidRDefault="0074203F" w:rsidP="00554402">
      <w:pPr>
        <w:spacing w:line="300" w:lineRule="exact"/>
        <w:jc w:val="both"/>
        <w:rPr>
          <w:rFonts w:ascii="Times New Roman" w:eastAsiaTheme="majorEastAsia" w:hAnsi="Times New Roman" w:cs="Times New Roman"/>
          <w:color w:val="auto"/>
          <w:szCs w:val="24"/>
        </w:rPr>
      </w:pPr>
      <w:r w:rsidRPr="00554402">
        <w:rPr>
          <w:rFonts w:ascii="Times New Roman" w:eastAsiaTheme="majorEastAsia" w:hAnsi="Times New Roman" w:cs="Times New Roman"/>
          <w:szCs w:val="24"/>
          <w:lang w:eastAsia="zh-TW"/>
        </w:rPr>
        <w:t xml:space="preserve">    </w:t>
      </w:r>
      <w:r w:rsidR="00D57D0F" w:rsidRPr="00554402">
        <w:rPr>
          <w:rFonts w:ascii="Times New Roman" w:eastAsiaTheme="majorEastAsia" w:hAnsi="Times New Roman" w:cs="Times New Roman"/>
          <w:szCs w:val="24"/>
        </w:rPr>
        <w:t>公屋政策千瘡百孔，一眾輪候冊上的申請人均為犧牲品，當中非長者單身人士的情況最為嚴峻。</w:t>
      </w:r>
      <w:r w:rsidR="00274C0F" w:rsidRPr="00554402">
        <w:rPr>
          <w:rFonts w:ascii="Times New Roman" w:eastAsiaTheme="majorEastAsia" w:hAnsi="Times New Roman" w:cs="Times New Roman"/>
          <w:szCs w:val="24"/>
        </w:rPr>
        <w:t>在</w:t>
      </w:r>
      <w:r w:rsidR="00274C0F" w:rsidRPr="00554402">
        <w:rPr>
          <w:rFonts w:ascii="Times New Roman" w:eastAsiaTheme="majorEastAsia" w:hAnsi="Times New Roman" w:cs="Times New Roman"/>
          <w:szCs w:val="24"/>
        </w:rPr>
        <w:t>2005</w:t>
      </w:r>
      <w:r w:rsidR="00274C0F" w:rsidRPr="00554402">
        <w:rPr>
          <w:rFonts w:ascii="Times New Roman" w:eastAsiaTheme="majorEastAsia" w:hAnsi="Times New Roman" w:cs="Times New Roman"/>
          <w:szCs w:val="24"/>
        </w:rPr>
        <w:t>年，房委會考慮到非長者一人申請住屋需求日增，將會削弱其</w:t>
      </w:r>
      <w:r w:rsidR="00D90758" w:rsidRPr="00554402">
        <w:rPr>
          <w:rFonts w:ascii="Times New Roman" w:eastAsiaTheme="majorEastAsia" w:hAnsi="Times New Roman" w:cs="Times New Roman"/>
          <w:szCs w:val="24"/>
        </w:rPr>
        <w:t>協助有更迫切需要的家庭之能力。故</w:t>
      </w:r>
      <w:r w:rsidR="00274C0F" w:rsidRPr="00554402">
        <w:rPr>
          <w:rFonts w:ascii="Times New Roman" w:eastAsiaTheme="majorEastAsia" w:hAnsi="Times New Roman" w:cs="Times New Roman"/>
          <w:szCs w:val="24"/>
        </w:rPr>
        <w:t>在當時</w:t>
      </w:r>
      <w:r w:rsidR="00D90758" w:rsidRPr="00554402">
        <w:rPr>
          <w:rFonts w:ascii="Times New Roman" w:eastAsiaTheme="majorEastAsia" w:hAnsi="Times New Roman" w:cs="Times New Roman"/>
          <w:szCs w:val="24"/>
        </w:rPr>
        <w:t>通過建議，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引入配額及計分制，將配額上限設定在最多每年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2,000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個，同時設立按申請人年齡等因素而釐定的「計分制」，並將非長者一人申請者剔除在公屋的平均輪候時間之外</w:t>
      </w:r>
      <w:r w:rsidR="00D90758" w:rsidRPr="00554402">
        <w:rPr>
          <w:rFonts w:ascii="Times New Roman" w:eastAsiaTheme="majorEastAsia" w:hAnsi="Times New Roman" w:cs="Times New Roman"/>
          <w:szCs w:val="24"/>
        </w:rPr>
        <w:t>。</w:t>
      </w:r>
      <w:r w:rsidR="00D57D0F" w:rsidRPr="00554402">
        <w:rPr>
          <w:rFonts w:ascii="Times New Roman" w:eastAsiaTheme="majorEastAsia" w:hAnsi="Times New Roman" w:cs="Times New Roman"/>
          <w:szCs w:val="24"/>
        </w:rPr>
        <w:t>此制度實施後，非長者單身人士在配額及計分這雙重關卡下，輪候公屋動輒十年八載</w:t>
      </w:r>
      <w:r w:rsidR="00F931D5" w:rsidRPr="00554402">
        <w:rPr>
          <w:rFonts w:ascii="Times New Roman" w:eastAsiaTheme="majorEastAsia" w:hAnsi="Times New Roman" w:cs="Times New Roman"/>
          <w:szCs w:val="24"/>
        </w:rPr>
        <w:t>。</w:t>
      </w:r>
      <w:r w:rsidR="00D57D0F" w:rsidRPr="00554402">
        <w:rPr>
          <w:rFonts w:ascii="Times New Roman" w:eastAsiaTheme="majorEastAsia" w:hAnsi="Times New Roman" w:cs="Times New Roman"/>
          <w:szCs w:val="24"/>
        </w:rPr>
        <w:t>原以為</w:t>
      </w:r>
      <w:r w:rsidR="00274C0F" w:rsidRPr="00554402">
        <w:rPr>
          <w:rFonts w:ascii="Times New Roman" w:eastAsiaTheme="majorEastAsia" w:hAnsi="Times New Roman" w:cs="Times New Roman"/>
          <w:szCs w:val="24"/>
        </w:rPr>
        <w:t>政府</w:t>
      </w:r>
      <w:r w:rsidR="00F931D5" w:rsidRPr="00554402">
        <w:rPr>
          <w:rFonts w:ascii="Times New Roman" w:eastAsiaTheme="majorEastAsia" w:hAnsi="Times New Roman" w:cs="Times New Roman"/>
          <w:szCs w:val="24"/>
        </w:rPr>
        <w:t>重設</w:t>
      </w:r>
      <w:r w:rsidR="00274C0F" w:rsidRPr="00554402">
        <w:rPr>
          <w:rFonts w:ascii="Times New Roman" w:eastAsiaTheme="majorEastAsia" w:hAnsi="Times New Roman" w:cs="Times New Roman"/>
          <w:szCs w:val="24"/>
        </w:rPr>
        <w:t>長遠房屋策略督導委員會</w:t>
      </w:r>
      <w:r w:rsidR="00F931D5" w:rsidRPr="00554402">
        <w:rPr>
          <w:rFonts w:ascii="Times New Roman" w:eastAsiaTheme="majorEastAsia" w:hAnsi="Times New Roman" w:cs="Times New Roman"/>
          <w:szCs w:val="24"/>
        </w:rPr>
        <w:t>，</w:t>
      </w:r>
      <w:r w:rsidR="00D90758" w:rsidRPr="00554402">
        <w:rPr>
          <w:rFonts w:ascii="Times New Roman" w:eastAsiaTheme="majorEastAsia" w:hAnsi="Times New Roman" w:cs="Times New Roman"/>
          <w:szCs w:val="24"/>
        </w:rPr>
        <w:t>建議｢優化｣配額及計分制，包括增加每年配額，以及向年逾</w:t>
      </w:r>
      <w:r w:rsidR="00D90758" w:rsidRPr="00554402">
        <w:rPr>
          <w:rFonts w:ascii="Times New Roman" w:eastAsiaTheme="majorEastAsia" w:hAnsi="Times New Roman" w:cs="Times New Roman"/>
          <w:szCs w:val="24"/>
        </w:rPr>
        <w:t>45</w:t>
      </w:r>
      <w:r w:rsidR="00D90758" w:rsidRPr="00554402">
        <w:rPr>
          <w:rFonts w:ascii="Times New Roman" w:eastAsiaTheme="majorEastAsia" w:hAnsi="Times New Roman" w:cs="Times New Roman"/>
          <w:szCs w:val="24"/>
        </w:rPr>
        <w:t>歲的申請者提供額外分數，並逐步擴展至</w:t>
      </w:r>
      <w:r w:rsidR="00D90758" w:rsidRPr="00554402">
        <w:rPr>
          <w:rFonts w:ascii="Times New Roman" w:eastAsiaTheme="majorEastAsia" w:hAnsi="Times New Roman" w:cs="Times New Roman"/>
          <w:szCs w:val="24"/>
        </w:rPr>
        <w:t>35</w:t>
      </w:r>
      <w:r w:rsidR="00D90758" w:rsidRPr="00554402">
        <w:rPr>
          <w:rFonts w:ascii="Times New Roman" w:eastAsiaTheme="majorEastAsia" w:hAnsi="Times New Roman" w:cs="Times New Roman"/>
          <w:szCs w:val="24"/>
        </w:rPr>
        <w:t>歲以上的非長者單身人士等</w:t>
      </w:r>
      <w:r w:rsidR="001D64F0" w:rsidRPr="00554402">
        <w:rPr>
          <w:rFonts w:ascii="Times New Roman" w:eastAsiaTheme="majorEastAsia" w:hAnsi="Times New Roman" w:cs="Times New Roman"/>
          <w:szCs w:val="24"/>
        </w:rPr>
        <w:t>，可為這群非長者的單身申請人帶來喜</w:t>
      </w:r>
      <w:r w:rsidR="001D64F0" w:rsidRPr="00554402">
        <w:rPr>
          <w:rFonts w:ascii="Times New Roman" w:eastAsiaTheme="majorEastAsia" w:hAnsi="Times New Roman" w:cs="Times New Roman"/>
          <w:szCs w:val="24"/>
          <w:lang w:eastAsia="zh-TW"/>
        </w:rPr>
        <w:t>訊</w:t>
      </w:r>
      <w:r w:rsidR="001C1FD1" w:rsidRPr="00554402">
        <w:rPr>
          <w:rFonts w:ascii="Times New Roman" w:eastAsiaTheme="majorEastAsia" w:hAnsi="Times New Roman" w:cs="Times New Roman"/>
          <w:szCs w:val="24"/>
        </w:rPr>
        <w:t>，豈料最後</w:t>
      </w:r>
      <w:r w:rsidR="00C5213E" w:rsidRPr="00554402">
        <w:rPr>
          <w:rFonts w:ascii="Times New Roman" w:eastAsiaTheme="majorEastAsia" w:hAnsi="Times New Roman" w:cs="Times New Roman"/>
          <w:szCs w:val="24"/>
          <w:lang w:eastAsia="zh-TW"/>
        </w:rPr>
        <w:t>竟然</w:t>
      </w:r>
      <w:r w:rsidR="001C1FD1" w:rsidRPr="00554402">
        <w:rPr>
          <w:rFonts w:ascii="Times New Roman" w:eastAsiaTheme="majorEastAsia" w:hAnsi="Times New Roman" w:cs="Times New Roman"/>
          <w:szCs w:val="24"/>
          <w:lang w:eastAsia="zh-TW"/>
        </w:rPr>
        <w:t>｢貨不對版｣</w:t>
      </w:r>
      <w:r w:rsidR="00D90758" w:rsidRPr="00554402">
        <w:rPr>
          <w:rFonts w:ascii="Times New Roman" w:eastAsiaTheme="majorEastAsia" w:hAnsi="Times New Roman" w:cs="Times New Roman"/>
          <w:szCs w:val="24"/>
        </w:rPr>
        <w:t>。</w:t>
      </w:r>
      <w:r w:rsidR="001C1FD1" w:rsidRPr="00554402">
        <w:rPr>
          <w:rFonts w:ascii="Times New Roman" w:eastAsiaTheme="majorEastAsia" w:hAnsi="Times New Roman" w:cs="Times New Roman"/>
          <w:szCs w:val="24"/>
          <w:lang w:eastAsia="zh-TW"/>
        </w:rPr>
        <w:t>在</w:t>
      </w:r>
      <w:r w:rsidR="001D64F0" w:rsidRPr="00554402">
        <w:rPr>
          <w:rFonts w:ascii="Times New Roman" w:eastAsiaTheme="majorEastAsia" w:hAnsi="Times New Roman" w:cs="Times New Roman"/>
          <w:szCs w:val="24"/>
          <w:lang w:eastAsia="zh-TW"/>
        </w:rPr>
        <w:t>2014</w:t>
      </w:r>
      <w:r w:rsidR="001D64F0" w:rsidRPr="00554402">
        <w:rPr>
          <w:rFonts w:ascii="Times New Roman" w:eastAsiaTheme="majorEastAsia" w:hAnsi="Times New Roman" w:cs="Times New Roman"/>
          <w:szCs w:val="24"/>
          <w:lang w:eastAsia="zh-TW"/>
        </w:rPr>
        <w:t>年</w:t>
      </w:r>
      <w:r w:rsidR="00F931D5" w:rsidRPr="00554402">
        <w:rPr>
          <w:rFonts w:ascii="Times New Roman" w:eastAsiaTheme="majorEastAsia" w:hAnsi="Times New Roman" w:cs="Times New Roman"/>
          <w:szCs w:val="24"/>
        </w:rPr>
        <w:t>10</w:t>
      </w:r>
      <w:r w:rsidR="00F931D5" w:rsidRPr="00554402">
        <w:rPr>
          <w:rFonts w:ascii="Times New Roman" w:eastAsiaTheme="majorEastAsia" w:hAnsi="Times New Roman" w:cs="Times New Roman"/>
          <w:szCs w:val="24"/>
        </w:rPr>
        <w:t>月，</w:t>
      </w:r>
      <w:r w:rsidR="00D90758" w:rsidRPr="00554402">
        <w:rPr>
          <w:rFonts w:ascii="Times New Roman" w:eastAsiaTheme="majorEastAsia" w:hAnsi="Times New Roman" w:cs="Times New Roman"/>
          <w:szCs w:val="24"/>
        </w:rPr>
        <w:t>房委會</w:t>
      </w:r>
      <w:r w:rsidR="001D64F0" w:rsidRPr="00554402">
        <w:rPr>
          <w:rFonts w:ascii="Times New Roman" w:eastAsiaTheme="majorEastAsia" w:hAnsi="Times New Roman" w:cs="Times New Roman"/>
          <w:szCs w:val="24"/>
          <w:lang w:eastAsia="zh-TW"/>
        </w:rPr>
        <w:t>在</w:t>
      </w:r>
      <w:r w:rsidR="00F931D5" w:rsidRPr="00554402">
        <w:rPr>
          <w:rFonts w:ascii="Times New Roman" w:eastAsiaTheme="majorEastAsia" w:hAnsi="Times New Roman" w:cs="Times New Roman"/>
          <w:szCs w:val="24"/>
        </w:rPr>
        <w:t>會議上</w:t>
      </w:r>
      <w:r w:rsidR="00D90758" w:rsidRPr="00554402">
        <w:rPr>
          <w:rFonts w:ascii="Times New Roman" w:eastAsiaTheme="majorEastAsia" w:hAnsi="Times New Roman" w:cs="Times New Roman"/>
          <w:szCs w:val="24"/>
        </w:rPr>
        <w:t>通過《長遠房屋策略</w:t>
      </w:r>
      <w:r w:rsidR="00D90758" w:rsidRPr="00554402">
        <w:rPr>
          <w:rFonts w:ascii="Times New Roman" w:eastAsiaTheme="majorEastAsia" w:hAnsi="Times New Roman" w:cs="Times New Roman"/>
          <w:szCs w:val="24"/>
        </w:rPr>
        <w:t>-</w:t>
      </w:r>
      <w:r w:rsidR="00F931D5" w:rsidRPr="00554402">
        <w:rPr>
          <w:rFonts w:ascii="Times New Roman" w:eastAsiaTheme="majorEastAsia" w:hAnsi="Times New Roman" w:cs="Times New Roman"/>
          <w:szCs w:val="24"/>
        </w:rPr>
        <w:t>合理分配公共租住房屋資源》文件，修訂配額及計分制。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面對嚴重傾斜的配額制度，只輕微將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每年配額上限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由</w:t>
      </w:r>
      <w:r w:rsidR="001D64F0" w:rsidRPr="00554402">
        <w:rPr>
          <w:rFonts w:ascii="Times New Roman" w:eastAsiaTheme="majorEastAsia" w:hAnsi="Times New Roman" w:cs="Times New Roman"/>
          <w:b/>
          <w:szCs w:val="24"/>
        </w:rPr>
        <w:t>2,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000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增至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2,200</w:t>
      </w:r>
      <w:r w:rsidR="000F3BAA" w:rsidRPr="00554402">
        <w:rPr>
          <w:rFonts w:ascii="Times New Roman" w:eastAsiaTheme="majorEastAsia" w:hAnsi="Times New Roman" w:cs="Times New Roman"/>
          <w:b/>
          <w:szCs w:val="24"/>
        </w:rPr>
        <w:t>個，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對於輪候冊上逾十</w:t>
      </w:r>
      <w:r w:rsidR="001D64F0" w:rsidRPr="00554402">
        <w:rPr>
          <w:rFonts w:ascii="Times New Roman" w:eastAsiaTheme="majorEastAsia" w:hAnsi="Times New Roman" w:cs="Times New Roman"/>
          <w:b/>
          <w:szCs w:val="24"/>
          <w:lang w:eastAsia="zh-TW"/>
        </w:rPr>
        <w:t>四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萬名非長者單身申請可謂</w:t>
      </w:r>
      <w:r w:rsidR="00BD2C34" w:rsidRPr="00554402">
        <w:rPr>
          <w:rFonts w:ascii="Times New Roman" w:eastAsiaTheme="majorEastAsia" w:hAnsi="Times New Roman" w:cs="Times New Roman"/>
          <w:b/>
          <w:szCs w:val="24"/>
        </w:rPr>
        <w:t>｢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杯水車薪</w:t>
      </w:r>
      <w:r w:rsidR="00BD2C34" w:rsidRPr="00554402">
        <w:rPr>
          <w:rFonts w:ascii="Times New Roman" w:eastAsiaTheme="majorEastAsia" w:hAnsi="Times New Roman" w:cs="Times New Roman"/>
          <w:b/>
          <w:szCs w:val="24"/>
        </w:rPr>
        <w:t>｣</w:t>
      </w:r>
      <w:r w:rsidR="00F931D5" w:rsidRPr="00554402">
        <w:rPr>
          <w:rFonts w:ascii="Times New Roman" w:eastAsiaTheme="majorEastAsia" w:hAnsi="Times New Roman" w:cs="Times New Roman"/>
          <w:b/>
          <w:szCs w:val="24"/>
        </w:rPr>
        <w:t>。</w:t>
      </w:r>
      <w:r w:rsidR="00F931D5" w:rsidRPr="00554402">
        <w:rPr>
          <w:rFonts w:ascii="Times New Roman" w:eastAsiaTheme="majorEastAsia" w:hAnsi="Times New Roman" w:cs="Times New Roman"/>
          <w:szCs w:val="24"/>
        </w:rPr>
        <w:t>同時，</w:t>
      </w:r>
      <w:r w:rsidR="000F3BAA" w:rsidRPr="00554402">
        <w:rPr>
          <w:rFonts w:ascii="Times New Roman" w:eastAsiaTheme="majorEastAsia" w:hAnsi="Times New Roman" w:cs="Times New Roman"/>
          <w:szCs w:val="24"/>
        </w:rPr>
        <w:t>房委會</w:t>
      </w:r>
      <w:r w:rsidR="00F931D5" w:rsidRPr="00554402">
        <w:rPr>
          <w:rFonts w:ascii="Times New Roman" w:eastAsiaTheme="majorEastAsia" w:hAnsi="Times New Roman" w:cs="Times New Roman"/>
          <w:szCs w:val="24"/>
        </w:rPr>
        <w:t>竟將</w:t>
      </w:r>
      <w:r w:rsidR="00080A6E" w:rsidRPr="00554402">
        <w:rPr>
          <w:rFonts w:ascii="Times New Roman" w:eastAsiaTheme="majorEastAsia" w:hAnsi="Times New Roman" w:cs="Times New Roman"/>
          <w:szCs w:val="24"/>
        </w:rPr>
        <w:t>原有計分制度中單一</w:t>
      </w:r>
      <w:r w:rsidR="00F931D5" w:rsidRPr="00554402">
        <w:rPr>
          <w:rFonts w:ascii="Times New Roman" w:eastAsiaTheme="majorEastAsia" w:hAnsi="Times New Roman" w:cs="Times New Roman"/>
          <w:szCs w:val="24"/>
        </w:rPr>
        <w:t>以年齡與住屋需要</w:t>
      </w:r>
      <w:r w:rsidR="00080A6E" w:rsidRPr="00554402">
        <w:rPr>
          <w:rFonts w:ascii="Times New Roman" w:eastAsiaTheme="majorEastAsia" w:hAnsi="Times New Roman" w:cs="Times New Roman"/>
          <w:szCs w:val="24"/>
        </w:rPr>
        <w:t>掛勾的問題深化，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由昔日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申請時年齡每增一歲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加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3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分上調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至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每增一歲加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9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分、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亦會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向年屆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45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歲申請人一次性加</w:t>
      </w:r>
      <w:r w:rsidR="00D90758" w:rsidRPr="00554402">
        <w:rPr>
          <w:rFonts w:ascii="Times New Roman" w:eastAsiaTheme="majorEastAsia" w:hAnsi="Times New Roman" w:cs="Times New Roman"/>
          <w:b/>
          <w:szCs w:val="24"/>
        </w:rPr>
        <w:t>60</w:t>
      </w:r>
      <w:r w:rsidR="00080A6E" w:rsidRPr="00554402">
        <w:rPr>
          <w:rFonts w:ascii="Times New Roman" w:eastAsiaTheme="majorEastAsia" w:hAnsi="Times New Roman" w:cs="Times New Roman"/>
          <w:b/>
          <w:szCs w:val="24"/>
        </w:rPr>
        <w:t>分</w:t>
      </w:r>
      <w:r w:rsidR="000F3BAA" w:rsidRPr="00554402">
        <w:rPr>
          <w:rFonts w:ascii="Times New Roman" w:eastAsiaTheme="majorEastAsia" w:hAnsi="Times New Roman" w:cs="Times New Roman"/>
          <w:b/>
          <w:szCs w:val="24"/>
        </w:rPr>
        <w:t>。</w:t>
      </w:r>
      <w:r w:rsidR="000F3BAA" w:rsidRPr="00554402">
        <w:rPr>
          <w:rFonts w:ascii="Times New Roman" w:eastAsiaTheme="majorEastAsia" w:hAnsi="Times New Roman" w:cs="Times New Roman"/>
          <w:szCs w:val="24"/>
        </w:rPr>
        <w:t>是次修訂進一步令年齡成為上樓次序的關鍵條件，低於某一個年齡層</w:t>
      </w:r>
      <w:r w:rsidR="000F3BAA" w:rsidRPr="00554402">
        <w:rPr>
          <w:rFonts w:ascii="Times New Roman" w:eastAsiaTheme="majorEastAsia" w:hAnsi="Times New Roman" w:cs="Times New Roman"/>
          <w:szCs w:val="24"/>
        </w:rPr>
        <w:t>(50</w:t>
      </w:r>
      <w:r w:rsidR="000F3BAA" w:rsidRPr="00554402">
        <w:rPr>
          <w:rFonts w:ascii="Times New Roman" w:eastAsiaTheme="majorEastAsia" w:hAnsi="Times New Roman" w:cs="Times New Roman"/>
          <w:szCs w:val="24"/>
        </w:rPr>
        <w:t>歲</w:t>
      </w:r>
      <w:r w:rsidR="000F3BAA" w:rsidRPr="00554402">
        <w:rPr>
          <w:rFonts w:ascii="Times New Roman" w:eastAsiaTheme="majorEastAsia" w:hAnsi="Times New Roman" w:cs="Times New Roman"/>
          <w:szCs w:val="24"/>
        </w:rPr>
        <w:t>)</w:t>
      </w:r>
      <w:r w:rsidR="000F3BAA" w:rsidRPr="00554402">
        <w:rPr>
          <w:rFonts w:ascii="Times New Roman" w:eastAsiaTheme="majorEastAsia" w:hAnsi="Times New Roman" w:cs="Times New Roman"/>
          <w:szCs w:val="24"/>
        </w:rPr>
        <w:t>的申請人根本沒有任何上樓機會。可是，</w:t>
      </w:r>
      <w:r w:rsidR="000F3BAA" w:rsidRPr="00554402">
        <w:rPr>
          <w:rFonts w:ascii="Times New Roman" w:eastAsiaTheme="majorEastAsia" w:hAnsi="Times New Roman" w:cs="Times New Roman"/>
          <w:b/>
          <w:szCs w:val="24"/>
        </w:rPr>
        <w:t>年齡高低並非決定住屋需要的單一指標，配額及計分制度完全違背房委會｢為沒有能力租住私人樓宇的低收入家庭提供公屋｣之宗旨。</w:t>
      </w:r>
    </w:p>
    <w:p w:rsidR="001C1FD1" w:rsidRPr="00554402" w:rsidRDefault="001C1FD1" w:rsidP="00554402">
      <w:pPr>
        <w:spacing w:line="300" w:lineRule="exact"/>
        <w:jc w:val="both"/>
        <w:rPr>
          <w:rFonts w:ascii="Times New Roman" w:eastAsiaTheme="majorEastAsia" w:hAnsi="Times New Roman" w:cs="Times New Roman"/>
          <w:color w:val="auto"/>
          <w:szCs w:val="24"/>
          <w:lang w:eastAsia="zh-TW"/>
        </w:rPr>
      </w:pPr>
    </w:p>
    <w:p w:rsidR="0094666A" w:rsidRPr="00554402" w:rsidRDefault="000F3BAA" w:rsidP="00554402">
      <w:pPr>
        <w:spacing w:line="300" w:lineRule="exact"/>
        <w:jc w:val="both"/>
        <w:rPr>
          <w:rFonts w:ascii="Times New Roman" w:eastAsiaTheme="majorEastAsia" w:hAnsi="Times New Roman" w:cs="Times New Roman"/>
          <w:b/>
          <w:color w:val="auto"/>
          <w:szCs w:val="24"/>
          <w:cs/>
        </w:rPr>
      </w:pP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四</w:t>
      </w:r>
      <w:r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. 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撤銷租金管制遺禍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 xml:space="preserve">  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基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層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  <w:lang w:eastAsia="zh-TW"/>
        </w:rPr>
        <w:t>住</w:t>
      </w:r>
      <w:r w:rsidR="00550ED1" w:rsidRPr="00554402">
        <w:rPr>
          <w:rFonts w:ascii="Times New Roman" w:eastAsiaTheme="majorEastAsia" w:hAnsi="Times New Roman" w:cs="Times New Roman"/>
          <w:b/>
          <w:color w:val="auto"/>
          <w:szCs w:val="24"/>
        </w:rPr>
        <w:t>屋負擔加劇</w:t>
      </w:r>
    </w:p>
    <w:p w:rsidR="00550ED1" w:rsidRPr="00554402" w:rsidRDefault="0074203F" w:rsidP="00554402">
      <w:pPr>
        <w:pStyle w:val="Normal1"/>
        <w:spacing w:line="300" w:lineRule="exact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 xml:space="preserve">    </w:t>
      </w:r>
      <w:r w:rsidR="00BD2C34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事實上，自</w:t>
      </w:r>
      <w:r w:rsidR="00BD2C34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2004</w:t>
      </w:r>
      <w:r w:rsidR="00550ED1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年至今，私人住宅租金一直按年上升，十年間租金上升接近一倍，其中以較小面積之單位升幅最高，升幅超過一點三倍。按年整體而言，單位面積愈小，租金升幅愈高。</w:t>
      </w:r>
      <w:r w:rsidR="000F3BAA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根據本會最新公佈的</w:t>
      </w:r>
      <w:r w:rsidR="0094666A" w:rsidRPr="00554402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「</w:t>
      </w:r>
      <w:r w:rsidR="0094666A" w:rsidRPr="00554402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2015 N</w:t>
      </w:r>
      <w:r w:rsidR="0094666A" w:rsidRPr="00554402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無人士租金調查中」</w:t>
      </w:r>
      <w:r w:rsidR="0094666A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，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比較兩年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(2013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年至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2015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年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同一單位同一住戶受訪者，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兩年間曾有近七成住戶之租金錄得升幅，加租中位數達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18%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，遠高於同期租金指數整體升幅之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11.8%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，亦高於同年小型單位租金升幅之</w:t>
      </w:r>
      <w:r w:rsidR="000F3BAA" w:rsidRPr="00554402">
        <w:rPr>
          <w:rFonts w:ascii="Times New Roman" w:eastAsiaTheme="majorEastAsia" w:hAnsi="Times New Roman" w:cs="Times New Roman"/>
          <w:b/>
          <w:sz w:val="24"/>
          <w:szCs w:val="24"/>
        </w:rPr>
        <w:t>14.6%</w:t>
      </w:r>
      <w:r w:rsidR="0094666A" w:rsidRPr="00554402">
        <w:rPr>
          <w:rFonts w:ascii="Times New Roman" w:eastAsiaTheme="majorEastAsia" w:hAnsi="Times New Roman" w:cs="Times New Roman"/>
          <w:b/>
          <w:sz w:val="24"/>
          <w:szCs w:val="24"/>
        </w:rPr>
        <w:t>，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足以反映</w:t>
      </w:r>
      <w:r w:rsidR="0094666A" w:rsidRPr="00554402">
        <w:rPr>
          <w:rFonts w:ascii="Times New Roman" w:eastAsiaTheme="majorEastAsia" w:hAnsi="Times New Roman" w:cs="Times New Roman"/>
          <w:sz w:val="24"/>
          <w:szCs w:val="24"/>
        </w:rPr>
        <w:t>劏房加租情況之</w:t>
      </w:r>
      <w:r w:rsidR="000F3BAA" w:rsidRPr="00554402">
        <w:rPr>
          <w:rFonts w:ascii="Times New Roman" w:eastAsiaTheme="majorEastAsia" w:hAnsi="Times New Roman" w:cs="Times New Roman"/>
          <w:sz w:val="24"/>
          <w:szCs w:val="24"/>
        </w:rPr>
        <w:t>誇張。</w:t>
      </w:r>
      <w:r w:rsidR="0094666A" w:rsidRPr="00554402">
        <w:rPr>
          <w:rFonts w:ascii="Times New Roman" w:eastAsiaTheme="majorEastAsia" w:hAnsi="Times New Roman" w:cs="Times New Roman"/>
          <w:sz w:val="24"/>
          <w:szCs w:val="24"/>
        </w:rPr>
        <w:t>而調查發現，受訪者中</w:t>
      </w:r>
      <w:r w:rsidR="0094666A" w:rsidRPr="00554402">
        <w:rPr>
          <w:rFonts w:ascii="Times New Roman" w:eastAsiaTheme="majorEastAsia" w:hAnsi="Times New Roman" w:cs="Times New Roman"/>
          <w:b/>
          <w:sz w:val="24"/>
          <w:szCs w:val="24"/>
        </w:rPr>
        <w:t>整體住戶的租金佔入息比例達</w:t>
      </w:r>
      <w:r w:rsidR="0094666A" w:rsidRPr="00554402">
        <w:rPr>
          <w:rFonts w:ascii="Times New Roman" w:eastAsiaTheme="majorEastAsia" w:hAnsi="Times New Roman" w:cs="Times New Roman"/>
          <w:b/>
          <w:sz w:val="24"/>
          <w:szCs w:val="24"/>
        </w:rPr>
        <w:t>34.8%</w:t>
      </w:r>
      <w:r w:rsidR="0094666A" w:rsidRPr="00554402">
        <w:rPr>
          <w:rFonts w:ascii="Times New Roman" w:eastAsiaTheme="majorEastAsia" w:hAnsi="Times New Roman" w:cs="Times New Roman"/>
          <w:b/>
          <w:sz w:val="24"/>
          <w:szCs w:val="24"/>
        </w:rPr>
        <w:t>，</w:t>
      </w:r>
      <w:r w:rsidR="0094666A" w:rsidRPr="00554402">
        <w:rPr>
          <w:rFonts w:ascii="Times New Roman" w:eastAsiaTheme="majorEastAsia" w:hAnsi="Times New Roman" w:cs="Times New Roman"/>
          <w:sz w:val="24"/>
          <w:szCs w:val="24"/>
        </w:rPr>
        <w:t>較統計處近月剛公佈《香港分間樓宇單位的住屋狀況》中整體住戶的租金佔入息比例達</w:t>
      </w:r>
      <w:r w:rsidR="0094666A" w:rsidRPr="00554402">
        <w:rPr>
          <w:rFonts w:ascii="Times New Roman" w:eastAsiaTheme="majorEastAsia" w:hAnsi="Times New Roman" w:cs="Times New Roman"/>
          <w:sz w:val="24"/>
          <w:szCs w:val="24"/>
        </w:rPr>
        <w:t>30.8%</w:t>
      </w:r>
      <w:r w:rsidR="0094666A" w:rsidRPr="00554402">
        <w:rPr>
          <w:rFonts w:ascii="Times New Roman" w:eastAsiaTheme="majorEastAsia" w:hAnsi="Times New Roman" w:cs="Times New Roman"/>
          <w:sz w:val="24"/>
          <w:szCs w:val="24"/>
        </w:rPr>
        <w:t>更高。現時私樓市場租金瘋狂增加，與政府先後</w:t>
      </w:r>
      <w:r w:rsidR="0094666A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於</w:t>
      </w:r>
      <w:r w:rsidR="0094666A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1998</w:t>
      </w:r>
      <w:r w:rsidR="0094666A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年及</w:t>
      </w:r>
      <w:r w:rsidR="0094666A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2004</w:t>
      </w:r>
      <w:r w:rsidR="0094666A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年取消租金管制及租住權保障有莫大關連。</w:t>
      </w:r>
      <w:r w:rsidR="00FA3D49" w:rsidRPr="00554402">
        <w:rPr>
          <w:rFonts w:ascii="Times New Roman" w:eastAsiaTheme="majorEastAsia" w:hAnsi="Times New Roman" w:cs="Times New Roman"/>
          <w:color w:val="auto"/>
          <w:sz w:val="24"/>
          <w:szCs w:val="24"/>
        </w:rPr>
        <w:t>撤銷租金管制後，</w:t>
      </w:r>
      <w:r w:rsidR="00FA3D49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租金變動全由業主與租客雙方協議。在公屋供應緊張的情況</w:t>
      </w:r>
      <w:r w:rsidR="00BD2C34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下，劏房需求只會不斷上升。業主在「唔憂租」的前提下自然有更大的議價能</w:t>
      </w:r>
      <w:r w:rsidR="00FA3D49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力無理增加租金，而基層租戶深諳「一屋難求」</w:t>
      </w:r>
      <w:r w:rsidR="00BD2C34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，</w:t>
      </w:r>
      <w:r w:rsidR="00FA3D49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只好「</w:t>
      </w:r>
      <w:r w:rsidR="001D64F0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肉隨</w:t>
      </w:r>
      <w:r w:rsidR="00FA3D49" w:rsidRPr="00554402">
        <w:rPr>
          <w:rFonts w:ascii="Times New Roman" w:eastAsiaTheme="majorEastAsia" w:hAnsi="Times New Roman" w:cs="Times New Roman"/>
          <w:kern w:val="0"/>
          <w:sz w:val="24"/>
          <w:szCs w:val="24"/>
        </w:rPr>
        <w:t>砧板上」，任由業主宰割。</w:t>
      </w:r>
    </w:p>
    <w:p w:rsidR="00BD2C34" w:rsidRPr="00554402" w:rsidRDefault="00BD2C34" w:rsidP="00554402">
      <w:pPr>
        <w:pStyle w:val="1"/>
        <w:spacing w:line="300" w:lineRule="exact"/>
        <w:ind w:left="0"/>
        <w:jc w:val="both"/>
        <w:rPr>
          <w:rFonts w:eastAsiaTheme="majorEastAsia"/>
          <w:b/>
          <w:szCs w:val="24"/>
        </w:rPr>
      </w:pPr>
    </w:p>
    <w:tbl>
      <w:tblPr>
        <w:tblStyle w:val="TableGrid"/>
        <w:tblpPr w:leftFromText="180" w:rightFromText="180" w:vertAnchor="text" w:horzAnchor="margin" w:tblpY="62"/>
        <w:tblW w:w="9072" w:type="dxa"/>
        <w:tblLook w:val="04A0" w:firstRow="1" w:lastRow="0" w:firstColumn="1" w:lastColumn="0" w:noHBand="0" w:noVBand="1"/>
      </w:tblPr>
      <w:tblGrid>
        <w:gridCol w:w="1838"/>
        <w:gridCol w:w="7234"/>
      </w:tblGrid>
      <w:tr w:rsidR="00B95128" w:rsidRPr="00554402" w:rsidTr="00511414">
        <w:tc>
          <w:tcPr>
            <w:tcW w:w="9072" w:type="dxa"/>
            <w:gridSpan w:val="2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</w:rPr>
              <w:t>政策建議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  <w:t>範疇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</w:rPr>
              <w:t>建議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  <w:cs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  <w:t>整體公屋供應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增建公屋至平均每年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35, 000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落成量的水平</w:t>
            </w:r>
          </w:p>
          <w:p w:rsidR="00B95128" w:rsidRPr="00554402" w:rsidRDefault="00B95128" w:rsidP="00554402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  <w:cs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重新檢視長遠房屋策略進度，將公屋輪候冊數字納入住屋需求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  <w:t>非長者</w:t>
            </w:r>
          </w:p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  <w:t>單身人士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pStyle w:val="ListParagraph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重新檢討配額及計分制</w:t>
            </w:r>
          </w:p>
          <w:p w:rsidR="00B95128" w:rsidRPr="00554402" w:rsidRDefault="00B95128" w:rsidP="00554402">
            <w:pPr>
              <w:pStyle w:val="ListParagraph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為現時獨居人士提供額外分數</w:t>
            </w:r>
          </w:p>
          <w:p w:rsidR="00B95128" w:rsidRPr="00554402" w:rsidRDefault="00B95128" w:rsidP="00554402">
            <w:pPr>
              <w:pStyle w:val="ListParagraph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為非長者單身設｢輪候時間上限｣承諾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</w:rPr>
              <w:t>租務管制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重訂租務管制，租金升幅限制在兩年內升租不能超過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18%</w:t>
            </w:r>
          </w:p>
          <w:p w:rsidR="00B95128" w:rsidRPr="00554402" w:rsidRDefault="00B95128" w:rsidP="00554402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設一負責全港租務事宜之部門、或賦予差餉物業估價署權責，以確立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«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業主與租客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綜合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條例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»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作為一切租約必須依從的根本條例，扭轉業主與租客地位失衡的情況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</w:rPr>
              <w:t>過渡性房屋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提供過渡性房屋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宿舍、工廈改建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554402">
              <w:rPr>
                <w:rFonts w:ascii="Times New Roman" w:eastAsiaTheme="majorEastAsia" w:hAnsi="Times New Roman" w:cs="Times New Roman"/>
                <w:szCs w:val="24"/>
              </w:rPr>
              <w:t>作中短期補救措施</w:t>
            </w:r>
          </w:p>
        </w:tc>
      </w:tr>
      <w:tr w:rsidR="00B95128" w:rsidRPr="00554402" w:rsidTr="00B95128">
        <w:tc>
          <w:tcPr>
            <w:tcW w:w="1838" w:type="dxa"/>
          </w:tcPr>
          <w:p w:rsidR="00B95128" w:rsidRPr="00554402" w:rsidRDefault="00B95128" w:rsidP="00554402">
            <w:pPr>
              <w:spacing w:line="300" w:lineRule="exact"/>
              <w:jc w:val="both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b/>
                <w:szCs w:val="24"/>
                <w:lang w:eastAsia="zh-TW"/>
              </w:rPr>
              <w:t>露宿</w:t>
            </w:r>
          </w:p>
        </w:tc>
        <w:tc>
          <w:tcPr>
            <w:tcW w:w="7234" w:type="dxa"/>
          </w:tcPr>
          <w:p w:rsidR="00B95128" w:rsidRPr="00554402" w:rsidRDefault="00B95128" w:rsidP="00554402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4402">
              <w:rPr>
                <w:rFonts w:ascii="Times New Roman" w:eastAsiaTheme="majorEastAsia" w:hAnsi="Times New Roman" w:cs="Times New Roman"/>
                <w:szCs w:val="24"/>
              </w:rPr>
              <w:t>復建廉價單宿</w:t>
            </w:r>
          </w:p>
        </w:tc>
      </w:tr>
    </w:tbl>
    <w:p w:rsidR="00BD2C34" w:rsidRPr="00554402" w:rsidRDefault="00BD2C34" w:rsidP="00B57C4F">
      <w:pPr>
        <w:spacing w:line="300" w:lineRule="exact"/>
        <w:jc w:val="center"/>
        <w:rPr>
          <w:rFonts w:ascii="Times New Roman" w:hAnsi="Times New Roman" w:cs="Times New Roman"/>
          <w:lang w:eastAsia="zh-TW" w:bidi="ar-SA"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57C4F" w:rsidRDefault="00B57C4F" w:rsidP="00B57C4F">
      <w:pPr>
        <w:spacing w:line="300" w:lineRule="exact"/>
        <w:jc w:val="center"/>
        <w:rPr>
          <w:rFonts w:ascii="新細明體" w:eastAsia="新細明體" w:hAnsi="新細明體" w:cs="Mangal"/>
          <w:b/>
          <w:cs/>
        </w:rPr>
      </w:pPr>
    </w:p>
    <w:p w:rsidR="00BD2C34" w:rsidRPr="00554402" w:rsidRDefault="00BD2C34" w:rsidP="00554402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554402">
        <w:rPr>
          <w:rFonts w:ascii="新細明體" w:eastAsia="新細明體" w:hAnsi="新細明體" w:cs="新細明體" w:hint="eastAsia"/>
          <w:b/>
        </w:rPr>
        <w:t>香港社區組織協會</w:t>
      </w:r>
    </w:p>
    <w:p w:rsidR="001C1FD1" w:rsidRPr="00554402" w:rsidRDefault="001C1FD1" w:rsidP="00554402">
      <w:pPr>
        <w:spacing w:line="300" w:lineRule="exact"/>
        <w:jc w:val="right"/>
        <w:rPr>
          <w:rFonts w:ascii="Times New Roman" w:hAnsi="Times New Roman" w:cs="Times New Roman"/>
          <w:b/>
          <w:cs/>
        </w:rPr>
      </w:pPr>
    </w:p>
    <w:p w:rsidR="00BD2C34" w:rsidRPr="00554402" w:rsidRDefault="00BD2C34" w:rsidP="0055440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554402">
        <w:rPr>
          <w:rFonts w:ascii="新細明體" w:eastAsia="新細明體" w:hAnsi="新細明體" w:cs="新細明體" w:hint="eastAsia"/>
          <w:b/>
        </w:rPr>
        <w:t>二零一五年</w:t>
      </w:r>
      <w:r w:rsidRPr="00554402">
        <w:rPr>
          <w:rFonts w:ascii="Times New Roman" w:eastAsiaTheme="minorEastAsia" w:hAnsi="Times New Roman" w:cs="Times New Roman"/>
          <w:b/>
          <w:lang w:eastAsia="zh-TW"/>
        </w:rPr>
        <w:t>十</w:t>
      </w:r>
      <w:r w:rsidRPr="00554402">
        <w:rPr>
          <w:rFonts w:ascii="新細明體" w:eastAsia="新細明體" w:hAnsi="新細明體" w:cs="新細明體" w:hint="eastAsia"/>
          <w:b/>
        </w:rPr>
        <w:t>月</w:t>
      </w:r>
      <w:r w:rsidR="000576A4" w:rsidRPr="00554402">
        <w:rPr>
          <w:rFonts w:ascii="Times New Roman" w:eastAsiaTheme="minorEastAsia" w:hAnsi="Times New Roman" w:cs="Times New Roman"/>
          <w:b/>
          <w:lang w:eastAsia="zh-TW"/>
        </w:rPr>
        <w:t>十一</w:t>
      </w:r>
      <w:r w:rsidRPr="00554402">
        <w:rPr>
          <w:rFonts w:ascii="新細明體" w:eastAsia="新細明體" w:hAnsi="新細明體" w:cs="新細明體" w:hint="eastAsia"/>
          <w:b/>
        </w:rPr>
        <w:t>日</w:t>
      </w:r>
    </w:p>
    <w:sectPr w:rsidR="00BD2C34" w:rsidRPr="00554402" w:rsidSect="00B57C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FE" w:rsidRDefault="00AA5BFE" w:rsidP="00550ED1">
      <w:pPr>
        <w:spacing w:line="240" w:lineRule="auto"/>
      </w:pPr>
      <w:r>
        <w:separator/>
      </w:r>
    </w:p>
  </w:endnote>
  <w:endnote w:type="continuationSeparator" w:id="0">
    <w:p w:rsidR="00AA5BFE" w:rsidRDefault="00AA5BFE" w:rsidP="00550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FE" w:rsidRDefault="00AA5BFE" w:rsidP="00550ED1">
      <w:pPr>
        <w:spacing w:line="240" w:lineRule="auto"/>
      </w:pPr>
      <w:r>
        <w:separator/>
      </w:r>
    </w:p>
  </w:footnote>
  <w:footnote w:type="continuationSeparator" w:id="0">
    <w:p w:rsidR="00AA5BFE" w:rsidRDefault="00AA5BFE" w:rsidP="00550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CC2"/>
    <w:multiLevelType w:val="hybridMultilevel"/>
    <w:tmpl w:val="C360E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311D42"/>
    <w:multiLevelType w:val="hybridMultilevel"/>
    <w:tmpl w:val="552CD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EF6320"/>
    <w:multiLevelType w:val="hybridMultilevel"/>
    <w:tmpl w:val="0F0CC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33408E"/>
    <w:multiLevelType w:val="hybridMultilevel"/>
    <w:tmpl w:val="3F4A5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125A36"/>
    <w:multiLevelType w:val="hybridMultilevel"/>
    <w:tmpl w:val="CC601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4330A9"/>
    <w:multiLevelType w:val="hybridMultilevel"/>
    <w:tmpl w:val="0082C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EA4684"/>
    <w:multiLevelType w:val="hybridMultilevel"/>
    <w:tmpl w:val="D73E1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1"/>
    <w:rsid w:val="000576A4"/>
    <w:rsid w:val="00080A6E"/>
    <w:rsid w:val="000B5A69"/>
    <w:rsid w:val="000C35A0"/>
    <w:rsid w:val="000F3BAA"/>
    <w:rsid w:val="000F71FE"/>
    <w:rsid w:val="001A4A6C"/>
    <w:rsid w:val="001C1FD1"/>
    <w:rsid w:val="001D64F0"/>
    <w:rsid w:val="001F00F2"/>
    <w:rsid w:val="0023717C"/>
    <w:rsid w:val="00257D66"/>
    <w:rsid w:val="00274C0F"/>
    <w:rsid w:val="002A062E"/>
    <w:rsid w:val="002C59AC"/>
    <w:rsid w:val="00340085"/>
    <w:rsid w:val="003747C5"/>
    <w:rsid w:val="003853F5"/>
    <w:rsid w:val="003C304F"/>
    <w:rsid w:val="004E1DEB"/>
    <w:rsid w:val="004E6B4A"/>
    <w:rsid w:val="00550ED1"/>
    <w:rsid w:val="00554402"/>
    <w:rsid w:val="005742C8"/>
    <w:rsid w:val="00585342"/>
    <w:rsid w:val="00655C76"/>
    <w:rsid w:val="006737FC"/>
    <w:rsid w:val="006A1E53"/>
    <w:rsid w:val="0074203F"/>
    <w:rsid w:val="007F198B"/>
    <w:rsid w:val="00810A54"/>
    <w:rsid w:val="008619E3"/>
    <w:rsid w:val="00871583"/>
    <w:rsid w:val="00881C32"/>
    <w:rsid w:val="00892BCA"/>
    <w:rsid w:val="008D0A82"/>
    <w:rsid w:val="0094666A"/>
    <w:rsid w:val="009742DA"/>
    <w:rsid w:val="009A7B3B"/>
    <w:rsid w:val="009D76ED"/>
    <w:rsid w:val="00AA0138"/>
    <w:rsid w:val="00AA5BFE"/>
    <w:rsid w:val="00AF4268"/>
    <w:rsid w:val="00B57C4F"/>
    <w:rsid w:val="00B838D7"/>
    <w:rsid w:val="00B95128"/>
    <w:rsid w:val="00BC579C"/>
    <w:rsid w:val="00BD2C34"/>
    <w:rsid w:val="00C10C2B"/>
    <w:rsid w:val="00C5213E"/>
    <w:rsid w:val="00D4364A"/>
    <w:rsid w:val="00D44AA6"/>
    <w:rsid w:val="00D57D0F"/>
    <w:rsid w:val="00D83429"/>
    <w:rsid w:val="00D87447"/>
    <w:rsid w:val="00D90758"/>
    <w:rsid w:val="00D96A57"/>
    <w:rsid w:val="00DA03C8"/>
    <w:rsid w:val="00DB6FEE"/>
    <w:rsid w:val="00E90CC1"/>
    <w:rsid w:val="00F06A4A"/>
    <w:rsid w:val="00F6036D"/>
    <w:rsid w:val="00F931D5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20A4-125A-4AEE-B889-28AD3C9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D1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50ED1"/>
    <w:rPr>
      <w:vertAlign w:val="superscript"/>
    </w:rPr>
  </w:style>
  <w:style w:type="character" w:styleId="EndnoteReference">
    <w:name w:val="endnote reference"/>
    <w:rsid w:val="00550E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50ED1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ED1"/>
    <w:rPr>
      <w:rFonts w:ascii="Calibri" w:eastAsia="Calibri" w:hAnsi="Calibri" w:cs="Calibri"/>
      <w:color w:val="000000"/>
      <w:kern w:val="1"/>
      <w:sz w:val="20"/>
      <w:szCs w:val="20"/>
      <w:lang w:eastAsia="hi-IN" w:bidi="hi-IN"/>
    </w:rPr>
  </w:style>
  <w:style w:type="paragraph" w:customStyle="1" w:styleId="Normal1">
    <w:name w:val="Normal1"/>
    <w:rsid w:val="004E1DEB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39"/>
    <w:rsid w:val="0067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5A69"/>
    <w:rPr>
      <w:i/>
      <w:iCs/>
    </w:rPr>
  </w:style>
  <w:style w:type="paragraph" w:customStyle="1" w:styleId="1">
    <w:name w:val="清單段落1"/>
    <w:basedOn w:val="Normal"/>
    <w:qFormat/>
    <w:rsid w:val="000F3BAA"/>
    <w:pPr>
      <w:suppressAutoHyphens w:val="0"/>
      <w:spacing w:line="240" w:lineRule="auto"/>
      <w:ind w:left="480"/>
    </w:pPr>
    <w:rPr>
      <w:rFonts w:ascii="Times New Roman" w:eastAsia="新細明體" w:hAnsi="Times New Roman" w:cs="Times New Roman"/>
      <w:color w:val="auto"/>
      <w:kern w:val="0"/>
      <w:lang w:eastAsia="zh-TW" w:bidi="ar-SA"/>
    </w:rPr>
  </w:style>
  <w:style w:type="paragraph" w:styleId="ListParagraph">
    <w:name w:val="List Paragraph"/>
    <w:basedOn w:val="Normal"/>
    <w:uiPriority w:val="34"/>
    <w:qFormat/>
    <w:rsid w:val="00FA3D49"/>
    <w:pPr>
      <w:widowControl w:val="0"/>
      <w:suppressAutoHyphens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kern w:val="2"/>
      <w:szCs w:val="22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D2C3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2C34"/>
    <w:rPr>
      <w:rFonts w:ascii="Calibri" w:eastAsia="Calibri" w:hAnsi="Calibri" w:cs="Mangal"/>
      <w:color w:val="000000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D2C3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2C34"/>
    <w:rPr>
      <w:rFonts w:ascii="Calibri" w:eastAsia="Calibri" w:hAnsi="Calibri" w:cs="Mangal"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5BF6-C4AA-4237-BEAB-CEF32B8D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SoCO_0010</dc:creator>
  <cp:keywords/>
  <dc:description/>
  <cp:lastModifiedBy>Yuen</cp:lastModifiedBy>
  <cp:revision>6</cp:revision>
  <dcterms:created xsi:type="dcterms:W3CDTF">2015-10-07T14:07:00Z</dcterms:created>
  <dcterms:modified xsi:type="dcterms:W3CDTF">2015-10-08T06:40:00Z</dcterms:modified>
</cp:coreProperties>
</file>