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041" w:rsidRPr="00E55BD3" w:rsidRDefault="005723EC" w:rsidP="00244C76">
      <w:pPr>
        <w:pStyle w:val="10"/>
        <w:spacing w:line="0" w:lineRule="atLeast"/>
        <w:ind w:left="0"/>
        <w:jc w:val="center"/>
        <w:rPr>
          <w:b/>
          <w:sz w:val="27"/>
          <w:szCs w:val="27"/>
        </w:rPr>
      </w:pPr>
      <w:r w:rsidRPr="00E55BD3">
        <w:rPr>
          <w:b/>
          <w:sz w:val="27"/>
          <w:szCs w:val="27"/>
        </w:rPr>
        <w:t>香港社區組織協會</w:t>
      </w:r>
    </w:p>
    <w:p w:rsidR="00BB45D1" w:rsidRPr="00E55BD3" w:rsidRDefault="00204571" w:rsidP="00BB45D1">
      <w:pPr>
        <w:pStyle w:val="10"/>
        <w:spacing w:line="0" w:lineRule="atLeast"/>
        <w:ind w:left="0"/>
        <w:jc w:val="center"/>
        <w:rPr>
          <w:b/>
          <w:sz w:val="27"/>
          <w:szCs w:val="27"/>
        </w:rPr>
      </w:pPr>
      <w:r w:rsidRPr="00E55BD3">
        <w:rPr>
          <w:b/>
          <w:sz w:val="27"/>
          <w:szCs w:val="27"/>
        </w:rPr>
        <w:t>回應房委會最新公佈</w:t>
      </w:r>
    </w:p>
    <w:p w:rsidR="00D956D2" w:rsidRDefault="00204571" w:rsidP="00BB45D1">
      <w:pPr>
        <w:pStyle w:val="10"/>
        <w:spacing w:line="0" w:lineRule="atLeast"/>
        <w:ind w:left="0"/>
        <w:jc w:val="center"/>
        <w:rPr>
          <w:b/>
          <w:sz w:val="27"/>
          <w:szCs w:val="27"/>
        </w:rPr>
      </w:pPr>
      <w:r w:rsidRPr="00E55BD3">
        <w:rPr>
          <w:b/>
          <w:sz w:val="27"/>
          <w:szCs w:val="27"/>
        </w:rPr>
        <w:t>公屋輪候個案及輪候時間</w:t>
      </w:r>
      <w:r w:rsidR="003F251F">
        <w:rPr>
          <w:rFonts w:hint="eastAsia"/>
          <w:b/>
          <w:sz w:val="27"/>
          <w:szCs w:val="27"/>
        </w:rPr>
        <w:t xml:space="preserve"> </w:t>
      </w:r>
      <w:r w:rsidR="003F251F">
        <w:rPr>
          <w:rFonts w:hint="eastAsia"/>
          <w:b/>
          <w:sz w:val="27"/>
          <w:szCs w:val="27"/>
        </w:rPr>
        <w:t>新聞稿</w:t>
      </w:r>
    </w:p>
    <w:p w:rsidR="00E674E6" w:rsidRPr="00E55BD3" w:rsidRDefault="00E674E6" w:rsidP="00BB45D1">
      <w:pPr>
        <w:pStyle w:val="10"/>
        <w:spacing w:line="0" w:lineRule="atLeast"/>
        <w:ind w:left="0"/>
        <w:jc w:val="center"/>
        <w:rPr>
          <w:b/>
          <w:sz w:val="27"/>
          <w:szCs w:val="27"/>
          <w:lang w:eastAsia="zh-HK"/>
        </w:rPr>
      </w:pPr>
    </w:p>
    <w:p w:rsidR="0040046D" w:rsidRPr="009B4F50" w:rsidRDefault="00D956D2" w:rsidP="00D956D2">
      <w:pPr>
        <w:jc w:val="both"/>
        <w:rPr>
          <w:rFonts w:ascii="Times New Roman" w:eastAsiaTheme="majorEastAsia" w:hAnsi="Times New Roman" w:cs="Times New Roman"/>
          <w:szCs w:val="24"/>
        </w:rPr>
      </w:pPr>
      <w:r w:rsidRPr="009B4F50">
        <w:rPr>
          <w:rFonts w:ascii="Times New Roman" w:eastAsiaTheme="majorEastAsia" w:hAnsi="Times New Roman" w:cs="Times New Roman"/>
          <w:szCs w:val="24"/>
        </w:rPr>
        <w:t xml:space="preserve">    </w:t>
      </w:r>
      <w:r w:rsidR="00F717E3" w:rsidRPr="009B4F50">
        <w:rPr>
          <w:rFonts w:ascii="Times New Roman" w:eastAsiaTheme="majorEastAsia" w:hAnsi="Times New Roman" w:cs="Times New Roman"/>
          <w:szCs w:val="24"/>
        </w:rPr>
        <w:t>根據房委會最新</w:t>
      </w:r>
      <w:r w:rsidRPr="009B4F50">
        <w:rPr>
          <w:rFonts w:ascii="Times New Roman" w:eastAsiaTheme="majorEastAsia" w:hAnsi="Times New Roman" w:cs="Times New Roman"/>
          <w:szCs w:val="24"/>
        </w:rPr>
        <w:t>公佈數字，截至</w:t>
      </w:r>
      <w:r w:rsidRPr="009B4F50">
        <w:rPr>
          <w:rFonts w:ascii="Times New Roman" w:eastAsiaTheme="majorEastAsia" w:hAnsi="Times New Roman" w:cs="Times New Roman"/>
          <w:szCs w:val="24"/>
        </w:rPr>
        <w:t>2015</w:t>
      </w:r>
      <w:r w:rsidRPr="009B4F50">
        <w:rPr>
          <w:rFonts w:ascii="Times New Roman" w:eastAsiaTheme="majorEastAsia" w:hAnsi="Times New Roman" w:cs="Times New Roman"/>
          <w:szCs w:val="24"/>
        </w:rPr>
        <w:t>年</w:t>
      </w:r>
      <w:r w:rsidRPr="009B4F50">
        <w:rPr>
          <w:rFonts w:ascii="Times New Roman" w:eastAsiaTheme="majorEastAsia" w:hAnsi="Times New Roman" w:cs="Times New Roman"/>
          <w:szCs w:val="24"/>
        </w:rPr>
        <w:t>9</w:t>
      </w:r>
      <w:r w:rsidRPr="009B4F50">
        <w:rPr>
          <w:rFonts w:ascii="Times New Roman" w:eastAsiaTheme="majorEastAsia" w:hAnsi="Times New Roman" w:cs="Times New Roman"/>
          <w:szCs w:val="24"/>
        </w:rPr>
        <w:t>月，</w:t>
      </w:r>
      <w:r w:rsidRPr="009B4F50">
        <w:rPr>
          <w:rFonts w:ascii="Times New Roman" w:eastAsiaTheme="majorEastAsia" w:hAnsi="Times New Roman" w:cs="Times New Roman"/>
          <w:b/>
          <w:szCs w:val="24"/>
        </w:rPr>
        <w:t>公屋輪候冊上整體申請達</w:t>
      </w:r>
      <w:r w:rsidRPr="009B4F50">
        <w:rPr>
          <w:rFonts w:ascii="Times New Roman" w:eastAsiaTheme="majorEastAsia" w:hAnsi="Times New Roman" w:cs="Times New Roman"/>
          <w:b/>
          <w:szCs w:val="24"/>
        </w:rPr>
        <w:t>285,000</w:t>
      </w:r>
      <w:r w:rsidRPr="009B4F50">
        <w:rPr>
          <w:rFonts w:ascii="Times New Roman" w:eastAsiaTheme="majorEastAsia" w:hAnsi="Times New Roman" w:cs="Times New Roman"/>
          <w:b/>
          <w:szCs w:val="24"/>
        </w:rPr>
        <w:t>宗</w:t>
      </w:r>
      <w:r w:rsidRPr="009B4F50">
        <w:rPr>
          <w:rFonts w:ascii="Times New Roman" w:eastAsiaTheme="majorEastAsia" w:hAnsi="Times New Roman" w:cs="Times New Roman"/>
          <w:szCs w:val="24"/>
        </w:rPr>
        <w:t>，</w:t>
      </w:r>
      <w:r w:rsidR="00F717E3" w:rsidRPr="009B4F50">
        <w:rPr>
          <w:rFonts w:ascii="Times New Roman" w:eastAsiaTheme="majorEastAsia" w:hAnsi="Times New Roman" w:cs="Times New Roman"/>
          <w:szCs w:val="24"/>
        </w:rPr>
        <w:t>再</w:t>
      </w:r>
      <w:r w:rsidRPr="009B4F50">
        <w:rPr>
          <w:rFonts w:ascii="Times New Roman" w:eastAsiaTheme="majorEastAsia" w:hAnsi="Times New Roman" w:cs="Times New Roman"/>
          <w:szCs w:val="24"/>
        </w:rPr>
        <w:t>創歷史新高。更令人擔心是，</w:t>
      </w:r>
      <w:r w:rsidRPr="009B4F50">
        <w:rPr>
          <w:rFonts w:ascii="Times New Roman" w:eastAsiaTheme="majorEastAsia" w:hAnsi="Times New Roman" w:cs="Times New Roman"/>
          <w:b/>
          <w:szCs w:val="24"/>
        </w:rPr>
        <w:t>一般申請者的平均輪候時間升至</w:t>
      </w:r>
      <w:r w:rsidRPr="009B4F50">
        <w:rPr>
          <w:rFonts w:ascii="Times New Roman" w:eastAsiaTheme="majorEastAsia" w:hAnsi="Times New Roman" w:cs="Times New Roman"/>
          <w:b/>
          <w:szCs w:val="24"/>
        </w:rPr>
        <w:t>3.6</w:t>
      </w:r>
      <w:r w:rsidRPr="009B4F50">
        <w:rPr>
          <w:rFonts w:ascii="Times New Roman" w:eastAsiaTheme="majorEastAsia" w:hAnsi="Times New Roman" w:cs="Times New Roman"/>
          <w:b/>
          <w:szCs w:val="24"/>
        </w:rPr>
        <w:t>年</w:t>
      </w:r>
      <w:r w:rsidRPr="009B4F50">
        <w:rPr>
          <w:rFonts w:ascii="Times New Roman" w:eastAsiaTheme="majorEastAsia" w:hAnsi="Times New Roman" w:cs="Times New Roman"/>
          <w:szCs w:val="24"/>
        </w:rPr>
        <w:t>，超過平均三年輪候目標；而長者一人申請者的平均輪候時間也升至</w:t>
      </w:r>
      <w:r w:rsidRPr="009B4F50">
        <w:rPr>
          <w:rFonts w:ascii="Times New Roman" w:eastAsiaTheme="majorEastAsia" w:hAnsi="Times New Roman" w:cs="Times New Roman"/>
          <w:szCs w:val="24"/>
        </w:rPr>
        <w:t>2</w:t>
      </w:r>
      <w:r w:rsidRPr="009B4F50">
        <w:rPr>
          <w:rFonts w:ascii="Times New Roman" w:eastAsiaTheme="majorEastAsia" w:hAnsi="Times New Roman" w:cs="Times New Roman"/>
          <w:szCs w:val="24"/>
        </w:rPr>
        <w:t>年，</w:t>
      </w:r>
      <w:r w:rsidR="00F717E3" w:rsidRPr="009B4F50">
        <w:rPr>
          <w:rFonts w:ascii="Times New Roman" w:eastAsiaTheme="majorEastAsia" w:hAnsi="Times New Roman" w:cs="Times New Roman"/>
          <w:szCs w:val="24"/>
        </w:rPr>
        <w:t>即將</w:t>
      </w:r>
      <w:r w:rsidR="0040046D" w:rsidRPr="009B4F50">
        <w:rPr>
          <w:rFonts w:ascii="Times New Roman" w:eastAsiaTheme="majorEastAsia" w:hAnsi="Times New Roman" w:cs="Times New Roman"/>
          <w:szCs w:val="24"/>
        </w:rPr>
        <w:t>超過長者一人平均輪候時間</w:t>
      </w:r>
      <w:r w:rsidR="0040046D" w:rsidRPr="009B4F50">
        <w:rPr>
          <w:rFonts w:ascii="Times New Roman" w:eastAsiaTheme="majorEastAsia" w:hAnsi="Times New Roman" w:cs="Times New Roman"/>
          <w:szCs w:val="24"/>
        </w:rPr>
        <w:t>2</w:t>
      </w:r>
      <w:r w:rsidR="0040046D" w:rsidRPr="009B4F50">
        <w:rPr>
          <w:rFonts w:ascii="Times New Roman" w:eastAsiaTheme="majorEastAsia" w:hAnsi="Times New Roman" w:cs="Times New Roman"/>
          <w:szCs w:val="24"/>
        </w:rPr>
        <w:t>年的目標。</w:t>
      </w:r>
    </w:p>
    <w:p w:rsidR="0040046D" w:rsidRPr="009B4F50" w:rsidRDefault="008A597E" w:rsidP="008A597E">
      <w:pPr>
        <w:jc w:val="center"/>
        <w:rPr>
          <w:rFonts w:ascii="Times New Roman" w:eastAsiaTheme="majorEastAsia" w:hAnsi="Times New Roman" w:cs="Times New Roman"/>
          <w:szCs w:val="24"/>
        </w:rPr>
      </w:pPr>
      <w:r w:rsidRPr="009B4F50">
        <w:rPr>
          <w:rFonts w:ascii="Times New Roman" w:eastAsiaTheme="majorEastAsia" w:hAnsi="Times New Roman" w:cs="Times New Roman"/>
          <w:szCs w:val="24"/>
        </w:rPr>
        <w:t>近年平均輪候時間變化</w:t>
      </w:r>
    </w:p>
    <w:tbl>
      <w:tblPr>
        <w:tblStyle w:val="TableGrid"/>
        <w:tblW w:w="9010" w:type="dxa"/>
        <w:tblInd w:w="-714" w:type="dxa"/>
        <w:tblLook w:val="04A0" w:firstRow="1" w:lastRow="0" w:firstColumn="1" w:lastColumn="0" w:noHBand="0" w:noVBand="1"/>
      </w:tblPr>
      <w:tblGrid>
        <w:gridCol w:w="1477"/>
        <w:gridCol w:w="839"/>
        <w:gridCol w:w="838"/>
        <w:gridCol w:w="839"/>
        <w:gridCol w:w="839"/>
        <w:gridCol w:w="839"/>
        <w:gridCol w:w="839"/>
        <w:gridCol w:w="839"/>
        <w:gridCol w:w="839"/>
        <w:gridCol w:w="822"/>
      </w:tblGrid>
      <w:tr w:rsidR="00F717E3" w:rsidRPr="009B4F50" w:rsidTr="00BA0B1F">
        <w:tc>
          <w:tcPr>
            <w:tcW w:w="1477" w:type="dxa"/>
          </w:tcPr>
          <w:p w:rsidR="00F717E3" w:rsidRPr="009B4F50" w:rsidRDefault="00F717E3" w:rsidP="00D956D2">
            <w:pPr>
              <w:jc w:val="both"/>
              <w:rPr>
                <w:rFonts w:ascii="Times New Roman" w:eastAsiaTheme="majorEastAsia" w:hAnsi="Times New Roman" w:cs="Times New Roman"/>
                <w:sz w:val="16"/>
                <w:szCs w:val="24"/>
              </w:rPr>
            </w:pPr>
          </w:p>
        </w:tc>
        <w:tc>
          <w:tcPr>
            <w:tcW w:w="839" w:type="dxa"/>
          </w:tcPr>
          <w:p w:rsidR="00F717E3" w:rsidRPr="009B4F50" w:rsidRDefault="00F717E3" w:rsidP="00D956D2">
            <w:pPr>
              <w:jc w:val="both"/>
              <w:rPr>
                <w:rFonts w:ascii="Times New Roman" w:eastAsiaTheme="majorEastAsia" w:hAnsi="Times New Roman" w:cs="Times New Roman"/>
                <w:sz w:val="16"/>
                <w:szCs w:val="24"/>
              </w:rPr>
            </w:pPr>
            <w:r w:rsidRPr="009B4F50">
              <w:rPr>
                <w:rFonts w:ascii="Times New Roman" w:eastAsiaTheme="majorEastAsia" w:hAnsi="Times New Roman" w:cs="Times New Roman"/>
                <w:sz w:val="16"/>
                <w:szCs w:val="24"/>
              </w:rPr>
              <w:t>截至</w:t>
            </w:r>
            <w:r w:rsidRPr="009B4F50">
              <w:rPr>
                <w:rFonts w:ascii="Times New Roman" w:eastAsiaTheme="majorEastAsia" w:hAnsi="Times New Roman" w:cs="Times New Roman"/>
                <w:sz w:val="16"/>
                <w:szCs w:val="24"/>
              </w:rPr>
              <w:t>2008</w:t>
            </w:r>
            <w:r w:rsidRPr="009B4F50">
              <w:rPr>
                <w:rFonts w:ascii="Times New Roman" w:eastAsiaTheme="majorEastAsia" w:hAnsi="Times New Roman" w:cs="Times New Roman"/>
                <w:sz w:val="16"/>
                <w:szCs w:val="24"/>
              </w:rPr>
              <w:t>年</w:t>
            </w:r>
            <w:r w:rsidRPr="009B4F50">
              <w:rPr>
                <w:rFonts w:ascii="Times New Roman" w:eastAsiaTheme="majorEastAsia" w:hAnsi="Times New Roman" w:cs="Times New Roman"/>
                <w:sz w:val="16"/>
                <w:szCs w:val="24"/>
              </w:rPr>
              <w:t>6</w:t>
            </w:r>
            <w:r w:rsidRPr="009B4F50">
              <w:rPr>
                <w:rFonts w:ascii="Times New Roman" w:eastAsiaTheme="majorEastAsia" w:hAnsi="Times New Roman" w:cs="Times New Roman"/>
                <w:sz w:val="16"/>
                <w:szCs w:val="24"/>
              </w:rPr>
              <w:t>月底</w:t>
            </w:r>
          </w:p>
        </w:tc>
        <w:tc>
          <w:tcPr>
            <w:tcW w:w="838" w:type="dxa"/>
          </w:tcPr>
          <w:p w:rsidR="00F717E3" w:rsidRPr="009B4F50" w:rsidRDefault="00F717E3" w:rsidP="00D956D2">
            <w:pPr>
              <w:jc w:val="both"/>
              <w:rPr>
                <w:rFonts w:ascii="Times New Roman" w:eastAsiaTheme="majorEastAsia" w:hAnsi="Times New Roman" w:cs="Times New Roman"/>
                <w:sz w:val="16"/>
                <w:szCs w:val="24"/>
              </w:rPr>
            </w:pPr>
            <w:r w:rsidRPr="009B4F50">
              <w:rPr>
                <w:rFonts w:ascii="Times New Roman" w:eastAsiaTheme="majorEastAsia" w:hAnsi="Times New Roman" w:cs="Times New Roman"/>
                <w:sz w:val="16"/>
                <w:szCs w:val="24"/>
              </w:rPr>
              <w:t>截至</w:t>
            </w:r>
            <w:r w:rsidRPr="009B4F50">
              <w:rPr>
                <w:rFonts w:ascii="Times New Roman" w:eastAsiaTheme="majorEastAsia" w:hAnsi="Times New Roman" w:cs="Times New Roman"/>
                <w:sz w:val="16"/>
                <w:szCs w:val="24"/>
              </w:rPr>
              <w:t>2009</w:t>
            </w:r>
            <w:r w:rsidRPr="009B4F50">
              <w:rPr>
                <w:rFonts w:ascii="Times New Roman" w:eastAsiaTheme="majorEastAsia" w:hAnsi="Times New Roman" w:cs="Times New Roman"/>
                <w:sz w:val="16"/>
                <w:szCs w:val="24"/>
              </w:rPr>
              <w:t>年</w:t>
            </w:r>
            <w:r w:rsidRPr="009B4F50">
              <w:rPr>
                <w:rFonts w:ascii="Times New Roman" w:eastAsiaTheme="majorEastAsia" w:hAnsi="Times New Roman" w:cs="Times New Roman"/>
                <w:sz w:val="16"/>
                <w:szCs w:val="24"/>
              </w:rPr>
              <w:t>6</w:t>
            </w:r>
            <w:r w:rsidRPr="009B4F50">
              <w:rPr>
                <w:rFonts w:ascii="Times New Roman" w:eastAsiaTheme="majorEastAsia" w:hAnsi="Times New Roman" w:cs="Times New Roman"/>
                <w:sz w:val="16"/>
                <w:szCs w:val="24"/>
              </w:rPr>
              <w:t>月底</w:t>
            </w:r>
          </w:p>
        </w:tc>
        <w:tc>
          <w:tcPr>
            <w:tcW w:w="839" w:type="dxa"/>
          </w:tcPr>
          <w:p w:rsidR="00F717E3" w:rsidRPr="009B4F50" w:rsidRDefault="00F717E3" w:rsidP="00D956D2">
            <w:pPr>
              <w:jc w:val="both"/>
              <w:rPr>
                <w:rFonts w:ascii="Times New Roman" w:eastAsiaTheme="majorEastAsia" w:hAnsi="Times New Roman" w:cs="Times New Roman"/>
                <w:sz w:val="16"/>
                <w:szCs w:val="24"/>
              </w:rPr>
            </w:pPr>
            <w:r w:rsidRPr="009B4F50">
              <w:rPr>
                <w:rFonts w:ascii="Times New Roman" w:eastAsiaTheme="majorEastAsia" w:hAnsi="Times New Roman" w:cs="Times New Roman"/>
                <w:sz w:val="16"/>
                <w:szCs w:val="24"/>
              </w:rPr>
              <w:t>截至</w:t>
            </w:r>
            <w:r w:rsidRPr="009B4F50">
              <w:rPr>
                <w:rFonts w:ascii="Times New Roman" w:eastAsiaTheme="majorEastAsia" w:hAnsi="Times New Roman" w:cs="Times New Roman"/>
                <w:sz w:val="16"/>
                <w:szCs w:val="24"/>
              </w:rPr>
              <w:t>2010</w:t>
            </w:r>
            <w:r w:rsidRPr="009B4F50">
              <w:rPr>
                <w:rFonts w:ascii="Times New Roman" w:eastAsiaTheme="majorEastAsia" w:hAnsi="Times New Roman" w:cs="Times New Roman"/>
                <w:sz w:val="16"/>
                <w:szCs w:val="24"/>
              </w:rPr>
              <w:t>年</w:t>
            </w:r>
            <w:r w:rsidRPr="009B4F50">
              <w:rPr>
                <w:rFonts w:ascii="Times New Roman" w:eastAsiaTheme="majorEastAsia" w:hAnsi="Times New Roman" w:cs="Times New Roman"/>
                <w:sz w:val="16"/>
                <w:szCs w:val="24"/>
              </w:rPr>
              <w:t>6</w:t>
            </w:r>
            <w:r w:rsidRPr="009B4F50">
              <w:rPr>
                <w:rFonts w:ascii="Times New Roman" w:eastAsiaTheme="majorEastAsia" w:hAnsi="Times New Roman" w:cs="Times New Roman"/>
                <w:sz w:val="16"/>
                <w:szCs w:val="24"/>
              </w:rPr>
              <w:t>月底</w:t>
            </w:r>
          </w:p>
        </w:tc>
        <w:tc>
          <w:tcPr>
            <w:tcW w:w="839" w:type="dxa"/>
          </w:tcPr>
          <w:p w:rsidR="00F717E3" w:rsidRPr="009B4F50" w:rsidRDefault="00F717E3" w:rsidP="00D956D2">
            <w:pPr>
              <w:jc w:val="both"/>
              <w:rPr>
                <w:rFonts w:ascii="Times New Roman" w:eastAsiaTheme="majorEastAsia" w:hAnsi="Times New Roman" w:cs="Times New Roman"/>
                <w:sz w:val="16"/>
                <w:szCs w:val="24"/>
              </w:rPr>
            </w:pPr>
            <w:r w:rsidRPr="009B4F50">
              <w:rPr>
                <w:rFonts w:ascii="Times New Roman" w:eastAsiaTheme="majorEastAsia" w:hAnsi="Times New Roman" w:cs="Times New Roman"/>
                <w:sz w:val="16"/>
                <w:szCs w:val="24"/>
              </w:rPr>
              <w:t>截至</w:t>
            </w:r>
            <w:r w:rsidRPr="009B4F50">
              <w:rPr>
                <w:rFonts w:ascii="Times New Roman" w:eastAsiaTheme="majorEastAsia" w:hAnsi="Times New Roman" w:cs="Times New Roman"/>
                <w:sz w:val="16"/>
                <w:szCs w:val="24"/>
              </w:rPr>
              <w:t>2011</w:t>
            </w:r>
            <w:r w:rsidRPr="009B4F50">
              <w:rPr>
                <w:rFonts w:ascii="Times New Roman" w:eastAsiaTheme="majorEastAsia" w:hAnsi="Times New Roman" w:cs="Times New Roman"/>
                <w:sz w:val="16"/>
                <w:szCs w:val="24"/>
              </w:rPr>
              <w:t>年</w:t>
            </w:r>
            <w:r w:rsidRPr="009B4F50">
              <w:rPr>
                <w:rFonts w:ascii="Times New Roman" w:eastAsiaTheme="majorEastAsia" w:hAnsi="Times New Roman" w:cs="Times New Roman"/>
                <w:sz w:val="16"/>
                <w:szCs w:val="24"/>
              </w:rPr>
              <w:t>6</w:t>
            </w:r>
            <w:r w:rsidRPr="009B4F50">
              <w:rPr>
                <w:rFonts w:ascii="Times New Roman" w:eastAsiaTheme="majorEastAsia" w:hAnsi="Times New Roman" w:cs="Times New Roman"/>
                <w:sz w:val="16"/>
                <w:szCs w:val="24"/>
              </w:rPr>
              <w:t>月底</w:t>
            </w:r>
          </w:p>
        </w:tc>
        <w:tc>
          <w:tcPr>
            <w:tcW w:w="839" w:type="dxa"/>
          </w:tcPr>
          <w:p w:rsidR="00F717E3" w:rsidRPr="009B4F50" w:rsidRDefault="00F717E3" w:rsidP="00D956D2">
            <w:pPr>
              <w:jc w:val="both"/>
              <w:rPr>
                <w:rFonts w:ascii="Times New Roman" w:eastAsiaTheme="majorEastAsia" w:hAnsi="Times New Roman" w:cs="Times New Roman"/>
                <w:sz w:val="16"/>
                <w:szCs w:val="24"/>
              </w:rPr>
            </w:pPr>
            <w:r w:rsidRPr="009B4F50">
              <w:rPr>
                <w:rFonts w:ascii="Times New Roman" w:eastAsiaTheme="majorEastAsia" w:hAnsi="Times New Roman" w:cs="Times New Roman"/>
                <w:sz w:val="16"/>
                <w:szCs w:val="24"/>
              </w:rPr>
              <w:t>截至</w:t>
            </w:r>
            <w:r w:rsidRPr="009B4F50">
              <w:rPr>
                <w:rFonts w:ascii="Times New Roman" w:eastAsiaTheme="majorEastAsia" w:hAnsi="Times New Roman" w:cs="Times New Roman"/>
                <w:sz w:val="16"/>
                <w:szCs w:val="24"/>
              </w:rPr>
              <w:t>2012</w:t>
            </w:r>
            <w:r w:rsidRPr="009B4F50">
              <w:rPr>
                <w:rFonts w:ascii="Times New Roman" w:eastAsiaTheme="majorEastAsia" w:hAnsi="Times New Roman" w:cs="Times New Roman"/>
                <w:sz w:val="16"/>
                <w:szCs w:val="24"/>
              </w:rPr>
              <w:t>年</w:t>
            </w:r>
            <w:r w:rsidRPr="009B4F50">
              <w:rPr>
                <w:rFonts w:ascii="Times New Roman" w:eastAsiaTheme="majorEastAsia" w:hAnsi="Times New Roman" w:cs="Times New Roman"/>
                <w:sz w:val="16"/>
                <w:szCs w:val="24"/>
              </w:rPr>
              <w:t>6</w:t>
            </w:r>
            <w:r w:rsidRPr="009B4F50">
              <w:rPr>
                <w:rFonts w:ascii="Times New Roman" w:eastAsiaTheme="majorEastAsia" w:hAnsi="Times New Roman" w:cs="Times New Roman"/>
                <w:sz w:val="16"/>
                <w:szCs w:val="24"/>
              </w:rPr>
              <w:t>月底</w:t>
            </w:r>
          </w:p>
        </w:tc>
        <w:tc>
          <w:tcPr>
            <w:tcW w:w="839" w:type="dxa"/>
          </w:tcPr>
          <w:p w:rsidR="00F717E3" w:rsidRPr="009B4F50" w:rsidRDefault="00F717E3" w:rsidP="00D956D2">
            <w:pPr>
              <w:jc w:val="both"/>
              <w:rPr>
                <w:rFonts w:ascii="Times New Roman" w:eastAsiaTheme="majorEastAsia" w:hAnsi="Times New Roman" w:cs="Times New Roman"/>
                <w:sz w:val="16"/>
                <w:szCs w:val="24"/>
              </w:rPr>
            </w:pPr>
            <w:r w:rsidRPr="009B4F50">
              <w:rPr>
                <w:rFonts w:ascii="Times New Roman" w:eastAsiaTheme="majorEastAsia" w:hAnsi="Times New Roman" w:cs="Times New Roman"/>
                <w:sz w:val="16"/>
                <w:szCs w:val="24"/>
              </w:rPr>
              <w:t>截至</w:t>
            </w:r>
            <w:r w:rsidRPr="009B4F50">
              <w:rPr>
                <w:rFonts w:ascii="Times New Roman" w:eastAsiaTheme="majorEastAsia" w:hAnsi="Times New Roman" w:cs="Times New Roman"/>
                <w:sz w:val="16"/>
                <w:szCs w:val="24"/>
              </w:rPr>
              <w:t>2013</w:t>
            </w:r>
            <w:r w:rsidRPr="009B4F50">
              <w:rPr>
                <w:rFonts w:ascii="Times New Roman" w:eastAsiaTheme="majorEastAsia" w:hAnsi="Times New Roman" w:cs="Times New Roman"/>
                <w:sz w:val="16"/>
                <w:szCs w:val="24"/>
              </w:rPr>
              <w:t>年</w:t>
            </w:r>
            <w:r w:rsidRPr="009B4F50">
              <w:rPr>
                <w:rFonts w:ascii="Times New Roman" w:eastAsiaTheme="majorEastAsia" w:hAnsi="Times New Roman" w:cs="Times New Roman"/>
                <w:sz w:val="16"/>
                <w:szCs w:val="24"/>
              </w:rPr>
              <w:t>6</w:t>
            </w:r>
            <w:r w:rsidRPr="009B4F50">
              <w:rPr>
                <w:rFonts w:ascii="Times New Roman" w:eastAsiaTheme="majorEastAsia" w:hAnsi="Times New Roman" w:cs="Times New Roman"/>
                <w:sz w:val="16"/>
                <w:szCs w:val="24"/>
              </w:rPr>
              <w:t>月底</w:t>
            </w:r>
          </w:p>
        </w:tc>
        <w:tc>
          <w:tcPr>
            <w:tcW w:w="839" w:type="dxa"/>
          </w:tcPr>
          <w:p w:rsidR="00F717E3" w:rsidRPr="009B4F50" w:rsidRDefault="00F717E3" w:rsidP="00D956D2">
            <w:pPr>
              <w:jc w:val="both"/>
              <w:rPr>
                <w:rFonts w:ascii="Times New Roman" w:eastAsiaTheme="majorEastAsia" w:hAnsi="Times New Roman" w:cs="Times New Roman"/>
                <w:sz w:val="16"/>
                <w:szCs w:val="24"/>
              </w:rPr>
            </w:pPr>
            <w:r w:rsidRPr="009B4F50">
              <w:rPr>
                <w:rFonts w:ascii="Times New Roman" w:eastAsiaTheme="majorEastAsia" w:hAnsi="Times New Roman" w:cs="Times New Roman"/>
                <w:sz w:val="16"/>
                <w:szCs w:val="24"/>
              </w:rPr>
              <w:t>截至</w:t>
            </w:r>
            <w:r w:rsidRPr="009B4F50">
              <w:rPr>
                <w:rFonts w:ascii="Times New Roman" w:eastAsiaTheme="majorEastAsia" w:hAnsi="Times New Roman" w:cs="Times New Roman"/>
                <w:sz w:val="16"/>
                <w:szCs w:val="24"/>
              </w:rPr>
              <w:t>2014</w:t>
            </w:r>
            <w:r w:rsidRPr="009B4F50">
              <w:rPr>
                <w:rFonts w:ascii="Times New Roman" w:eastAsiaTheme="majorEastAsia" w:hAnsi="Times New Roman" w:cs="Times New Roman"/>
                <w:sz w:val="16"/>
                <w:szCs w:val="24"/>
              </w:rPr>
              <w:t>年</w:t>
            </w:r>
            <w:r w:rsidRPr="009B4F50">
              <w:rPr>
                <w:rFonts w:ascii="Times New Roman" w:eastAsiaTheme="majorEastAsia" w:hAnsi="Times New Roman" w:cs="Times New Roman"/>
                <w:sz w:val="16"/>
                <w:szCs w:val="24"/>
              </w:rPr>
              <w:t>6</w:t>
            </w:r>
            <w:r w:rsidRPr="009B4F50">
              <w:rPr>
                <w:rFonts w:ascii="Times New Roman" w:eastAsiaTheme="majorEastAsia" w:hAnsi="Times New Roman" w:cs="Times New Roman"/>
                <w:sz w:val="16"/>
                <w:szCs w:val="24"/>
              </w:rPr>
              <w:t>月底</w:t>
            </w:r>
          </w:p>
        </w:tc>
        <w:tc>
          <w:tcPr>
            <w:tcW w:w="839" w:type="dxa"/>
          </w:tcPr>
          <w:p w:rsidR="00F717E3" w:rsidRPr="009B4F50" w:rsidRDefault="00BB45D1" w:rsidP="00D956D2">
            <w:pPr>
              <w:jc w:val="both"/>
              <w:rPr>
                <w:rFonts w:ascii="Times New Roman" w:eastAsiaTheme="majorEastAsia" w:hAnsi="Times New Roman" w:cs="Times New Roman"/>
                <w:sz w:val="16"/>
                <w:szCs w:val="24"/>
              </w:rPr>
            </w:pPr>
            <w:r w:rsidRPr="009B4F50">
              <w:rPr>
                <w:rFonts w:ascii="Times New Roman" w:eastAsiaTheme="majorEastAsia" w:hAnsi="Times New Roman" w:cs="Times New Roman"/>
                <w:sz w:val="16"/>
                <w:szCs w:val="24"/>
              </w:rPr>
              <w:t>截至</w:t>
            </w:r>
            <w:r w:rsidR="00F717E3" w:rsidRPr="009B4F50">
              <w:rPr>
                <w:rFonts w:ascii="Times New Roman" w:eastAsiaTheme="majorEastAsia" w:hAnsi="Times New Roman" w:cs="Times New Roman"/>
                <w:sz w:val="16"/>
                <w:szCs w:val="24"/>
              </w:rPr>
              <w:t>2015</w:t>
            </w:r>
            <w:r w:rsidR="00F717E3" w:rsidRPr="009B4F50">
              <w:rPr>
                <w:rFonts w:ascii="Times New Roman" w:eastAsiaTheme="majorEastAsia" w:hAnsi="Times New Roman" w:cs="Times New Roman"/>
                <w:sz w:val="16"/>
                <w:szCs w:val="24"/>
              </w:rPr>
              <w:t>年</w:t>
            </w:r>
            <w:r w:rsidR="00F717E3" w:rsidRPr="009B4F50">
              <w:rPr>
                <w:rFonts w:ascii="Times New Roman" w:eastAsiaTheme="majorEastAsia" w:hAnsi="Times New Roman" w:cs="Times New Roman"/>
                <w:sz w:val="16"/>
                <w:szCs w:val="24"/>
              </w:rPr>
              <w:t>6</w:t>
            </w:r>
            <w:r w:rsidR="00F717E3" w:rsidRPr="009B4F50">
              <w:rPr>
                <w:rFonts w:ascii="Times New Roman" w:eastAsiaTheme="majorEastAsia" w:hAnsi="Times New Roman" w:cs="Times New Roman"/>
                <w:sz w:val="16"/>
                <w:szCs w:val="24"/>
              </w:rPr>
              <w:t>月底</w:t>
            </w:r>
          </w:p>
        </w:tc>
        <w:tc>
          <w:tcPr>
            <w:tcW w:w="822" w:type="dxa"/>
          </w:tcPr>
          <w:p w:rsidR="00F717E3" w:rsidRPr="009B4F50" w:rsidRDefault="00F717E3" w:rsidP="00D956D2">
            <w:pPr>
              <w:jc w:val="both"/>
              <w:rPr>
                <w:rFonts w:ascii="Times New Roman" w:eastAsiaTheme="majorEastAsia" w:hAnsi="Times New Roman" w:cs="Times New Roman"/>
                <w:sz w:val="16"/>
                <w:szCs w:val="24"/>
              </w:rPr>
            </w:pPr>
            <w:r w:rsidRPr="009B4F50">
              <w:rPr>
                <w:rFonts w:ascii="Times New Roman" w:eastAsiaTheme="majorEastAsia" w:hAnsi="Times New Roman" w:cs="Times New Roman"/>
                <w:sz w:val="16"/>
                <w:szCs w:val="24"/>
              </w:rPr>
              <w:t>截</w:t>
            </w:r>
            <w:r w:rsidR="00BB45D1" w:rsidRPr="009B4F50">
              <w:rPr>
                <w:rFonts w:ascii="Times New Roman" w:eastAsiaTheme="majorEastAsia" w:hAnsi="Times New Roman" w:cs="Times New Roman"/>
                <w:sz w:val="16"/>
                <w:szCs w:val="24"/>
              </w:rPr>
              <w:t>至</w:t>
            </w:r>
            <w:r w:rsidRPr="009B4F50">
              <w:rPr>
                <w:rFonts w:ascii="Times New Roman" w:eastAsiaTheme="majorEastAsia" w:hAnsi="Times New Roman" w:cs="Times New Roman"/>
                <w:sz w:val="16"/>
                <w:szCs w:val="24"/>
              </w:rPr>
              <w:t>2015</w:t>
            </w:r>
            <w:r w:rsidRPr="009B4F50">
              <w:rPr>
                <w:rFonts w:ascii="Times New Roman" w:eastAsiaTheme="majorEastAsia" w:hAnsi="Times New Roman" w:cs="Times New Roman"/>
                <w:sz w:val="16"/>
                <w:szCs w:val="24"/>
              </w:rPr>
              <w:t>年</w:t>
            </w:r>
            <w:r w:rsidRPr="009B4F50">
              <w:rPr>
                <w:rFonts w:ascii="Times New Roman" w:eastAsiaTheme="majorEastAsia" w:hAnsi="Times New Roman" w:cs="Times New Roman"/>
                <w:sz w:val="16"/>
                <w:szCs w:val="24"/>
              </w:rPr>
              <w:t>9</w:t>
            </w:r>
            <w:r w:rsidRPr="009B4F50">
              <w:rPr>
                <w:rFonts w:ascii="Times New Roman" w:eastAsiaTheme="majorEastAsia" w:hAnsi="Times New Roman" w:cs="Times New Roman"/>
                <w:sz w:val="16"/>
                <w:szCs w:val="24"/>
              </w:rPr>
              <w:t>月底</w:t>
            </w:r>
          </w:p>
        </w:tc>
      </w:tr>
      <w:tr w:rsidR="00F717E3" w:rsidRPr="009B4F50" w:rsidTr="00BA0B1F">
        <w:tc>
          <w:tcPr>
            <w:tcW w:w="1477" w:type="dxa"/>
          </w:tcPr>
          <w:p w:rsidR="00F717E3" w:rsidRPr="009B4F50" w:rsidRDefault="00F717E3" w:rsidP="00D956D2">
            <w:pPr>
              <w:jc w:val="both"/>
              <w:rPr>
                <w:rFonts w:ascii="Times New Roman" w:eastAsiaTheme="majorEastAsia" w:hAnsi="Times New Roman" w:cs="Times New Roman"/>
                <w:sz w:val="16"/>
                <w:szCs w:val="24"/>
              </w:rPr>
            </w:pPr>
            <w:r w:rsidRPr="009B4F50">
              <w:rPr>
                <w:rFonts w:ascii="Times New Roman" w:eastAsiaTheme="majorEastAsia" w:hAnsi="Times New Roman" w:cs="Times New Roman"/>
                <w:sz w:val="16"/>
                <w:szCs w:val="24"/>
              </w:rPr>
              <w:t>一般申請人的平均輪候時間</w:t>
            </w:r>
          </w:p>
        </w:tc>
        <w:tc>
          <w:tcPr>
            <w:tcW w:w="839" w:type="dxa"/>
          </w:tcPr>
          <w:p w:rsidR="00F717E3" w:rsidRPr="009B4F50" w:rsidRDefault="00F717E3" w:rsidP="00D956D2">
            <w:pPr>
              <w:jc w:val="both"/>
              <w:rPr>
                <w:rFonts w:ascii="Times New Roman" w:eastAsiaTheme="majorEastAsia" w:hAnsi="Times New Roman" w:cs="Times New Roman"/>
                <w:sz w:val="16"/>
                <w:szCs w:val="24"/>
              </w:rPr>
            </w:pPr>
            <w:r w:rsidRPr="009B4F50">
              <w:rPr>
                <w:rFonts w:ascii="Times New Roman" w:eastAsiaTheme="majorEastAsia" w:hAnsi="Times New Roman" w:cs="Times New Roman"/>
                <w:sz w:val="16"/>
                <w:szCs w:val="24"/>
              </w:rPr>
              <w:t>1.8</w:t>
            </w:r>
            <w:r w:rsidRPr="009B4F50">
              <w:rPr>
                <w:rFonts w:ascii="Times New Roman" w:eastAsiaTheme="majorEastAsia" w:hAnsi="Times New Roman" w:cs="Times New Roman"/>
                <w:sz w:val="16"/>
                <w:szCs w:val="24"/>
              </w:rPr>
              <w:t>年</w:t>
            </w:r>
          </w:p>
        </w:tc>
        <w:tc>
          <w:tcPr>
            <w:tcW w:w="838" w:type="dxa"/>
          </w:tcPr>
          <w:p w:rsidR="00F717E3" w:rsidRPr="009B4F50" w:rsidRDefault="00F717E3" w:rsidP="00D956D2">
            <w:pPr>
              <w:jc w:val="both"/>
              <w:rPr>
                <w:rFonts w:ascii="Times New Roman" w:eastAsiaTheme="majorEastAsia" w:hAnsi="Times New Roman" w:cs="Times New Roman"/>
                <w:sz w:val="16"/>
                <w:szCs w:val="24"/>
              </w:rPr>
            </w:pPr>
            <w:r w:rsidRPr="009B4F50">
              <w:rPr>
                <w:rFonts w:ascii="Times New Roman" w:eastAsiaTheme="majorEastAsia" w:hAnsi="Times New Roman" w:cs="Times New Roman"/>
                <w:sz w:val="16"/>
                <w:szCs w:val="24"/>
              </w:rPr>
              <w:t>1.8</w:t>
            </w:r>
            <w:r w:rsidRPr="009B4F50">
              <w:rPr>
                <w:rFonts w:ascii="Times New Roman" w:eastAsiaTheme="majorEastAsia" w:hAnsi="Times New Roman" w:cs="Times New Roman"/>
                <w:sz w:val="16"/>
                <w:szCs w:val="24"/>
              </w:rPr>
              <w:t>年</w:t>
            </w:r>
          </w:p>
        </w:tc>
        <w:tc>
          <w:tcPr>
            <w:tcW w:w="839" w:type="dxa"/>
          </w:tcPr>
          <w:p w:rsidR="00F717E3" w:rsidRPr="009B4F50" w:rsidRDefault="00F717E3" w:rsidP="00D956D2">
            <w:pPr>
              <w:jc w:val="both"/>
              <w:rPr>
                <w:rFonts w:ascii="Times New Roman" w:eastAsiaTheme="majorEastAsia" w:hAnsi="Times New Roman" w:cs="Times New Roman"/>
                <w:sz w:val="16"/>
                <w:szCs w:val="24"/>
              </w:rPr>
            </w:pPr>
            <w:r w:rsidRPr="009B4F50">
              <w:rPr>
                <w:rFonts w:ascii="Times New Roman" w:eastAsiaTheme="majorEastAsia" w:hAnsi="Times New Roman" w:cs="Times New Roman"/>
                <w:sz w:val="16"/>
                <w:szCs w:val="24"/>
              </w:rPr>
              <w:t>2.0</w:t>
            </w:r>
            <w:r w:rsidRPr="009B4F50">
              <w:rPr>
                <w:rFonts w:ascii="Times New Roman" w:eastAsiaTheme="majorEastAsia" w:hAnsi="Times New Roman" w:cs="Times New Roman"/>
                <w:sz w:val="16"/>
                <w:szCs w:val="24"/>
              </w:rPr>
              <w:t>年</w:t>
            </w:r>
          </w:p>
        </w:tc>
        <w:tc>
          <w:tcPr>
            <w:tcW w:w="839" w:type="dxa"/>
          </w:tcPr>
          <w:p w:rsidR="00F717E3" w:rsidRPr="009B4F50" w:rsidRDefault="00F717E3" w:rsidP="00D956D2">
            <w:pPr>
              <w:jc w:val="both"/>
              <w:rPr>
                <w:rFonts w:ascii="Times New Roman" w:eastAsiaTheme="majorEastAsia" w:hAnsi="Times New Roman" w:cs="Times New Roman"/>
                <w:sz w:val="16"/>
                <w:szCs w:val="24"/>
              </w:rPr>
            </w:pPr>
            <w:r w:rsidRPr="009B4F50">
              <w:rPr>
                <w:rFonts w:ascii="Times New Roman" w:eastAsiaTheme="majorEastAsia" w:hAnsi="Times New Roman" w:cs="Times New Roman"/>
                <w:sz w:val="16"/>
                <w:szCs w:val="24"/>
              </w:rPr>
              <w:t>2.2</w:t>
            </w:r>
            <w:r w:rsidRPr="009B4F50">
              <w:rPr>
                <w:rFonts w:ascii="Times New Roman" w:eastAsiaTheme="majorEastAsia" w:hAnsi="Times New Roman" w:cs="Times New Roman"/>
                <w:sz w:val="16"/>
                <w:szCs w:val="24"/>
              </w:rPr>
              <w:t>年</w:t>
            </w:r>
          </w:p>
        </w:tc>
        <w:tc>
          <w:tcPr>
            <w:tcW w:w="839" w:type="dxa"/>
          </w:tcPr>
          <w:p w:rsidR="00F717E3" w:rsidRPr="009B4F50" w:rsidRDefault="00F717E3" w:rsidP="00D956D2">
            <w:pPr>
              <w:jc w:val="both"/>
              <w:rPr>
                <w:rFonts w:ascii="Times New Roman" w:eastAsiaTheme="majorEastAsia" w:hAnsi="Times New Roman" w:cs="Times New Roman"/>
                <w:sz w:val="16"/>
                <w:szCs w:val="24"/>
              </w:rPr>
            </w:pPr>
            <w:r w:rsidRPr="009B4F50">
              <w:rPr>
                <w:rFonts w:ascii="Times New Roman" w:eastAsiaTheme="majorEastAsia" w:hAnsi="Times New Roman" w:cs="Times New Roman"/>
                <w:sz w:val="16"/>
                <w:szCs w:val="24"/>
              </w:rPr>
              <w:t>2.7</w:t>
            </w:r>
            <w:r w:rsidRPr="009B4F50">
              <w:rPr>
                <w:rFonts w:ascii="Times New Roman" w:eastAsiaTheme="majorEastAsia" w:hAnsi="Times New Roman" w:cs="Times New Roman"/>
                <w:sz w:val="16"/>
                <w:szCs w:val="24"/>
              </w:rPr>
              <w:t>年</w:t>
            </w:r>
          </w:p>
        </w:tc>
        <w:tc>
          <w:tcPr>
            <w:tcW w:w="839" w:type="dxa"/>
          </w:tcPr>
          <w:p w:rsidR="00F717E3" w:rsidRPr="009B4F50" w:rsidRDefault="00F717E3" w:rsidP="00D956D2">
            <w:pPr>
              <w:jc w:val="both"/>
              <w:rPr>
                <w:rFonts w:ascii="Times New Roman" w:eastAsiaTheme="majorEastAsia" w:hAnsi="Times New Roman" w:cs="Times New Roman"/>
                <w:sz w:val="16"/>
                <w:szCs w:val="24"/>
              </w:rPr>
            </w:pPr>
            <w:r w:rsidRPr="009B4F50">
              <w:rPr>
                <w:rFonts w:ascii="Times New Roman" w:eastAsiaTheme="majorEastAsia" w:hAnsi="Times New Roman" w:cs="Times New Roman"/>
                <w:sz w:val="16"/>
                <w:szCs w:val="24"/>
              </w:rPr>
              <w:t>2.7</w:t>
            </w:r>
            <w:r w:rsidRPr="009B4F50">
              <w:rPr>
                <w:rFonts w:ascii="Times New Roman" w:eastAsiaTheme="majorEastAsia" w:hAnsi="Times New Roman" w:cs="Times New Roman"/>
                <w:sz w:val="16"/>
                <w:szCs w:val="24"/>
              </w:rPr>
              <w:t>年</w:t>
            </w:r>
          </w:p>
        </w:tc>
        <w:tc>
          <w:tcPr>
            <w:tcW w:w="839" w:type="dxa"/>
          </w:tcPr>
          <w:p w:rsidR="00F717E3" w:rsidRPr="009B4F50" w:rsidRDefault="00F717E3" w:rsidP="00D956D2">
            <w:pPr>
              <w:jc w:val="both"/>
              <w:rPr>
                <w:rFonts w:ascii="Times New Roman" w:eastAsiaTheme="majorEastAsia" w:hAnsi="Times New Roman" w:cs="Times New Roman"/>
                <w:sz w:val="16"/>
                <w:szCs w:val="24"/>
              </w:rPr>
            </w:pPr>
            <w:r w:rsidRPr="009B4F50">
              <w:rPr>
                <w:rFonts w:ascii="Times New Roman" w:eastAsiaTheme="majorEastAsia" w:hAnsi="Times New Roman" w:cs="Times New Roman"/>
                <w:sz w:val="16"/>
                <w:szCs w:val="24"/>
              </w:rPr>
              <w:t>3.0</w:t>
            </w:r>
            <w:r w:rsidRPr="009B4F50">
              <w:rPr>
                <w:rFonts w:ascii="Times New Roman" w:eastAsiaTheme="majorEastAsia" w:hAnsi="Times New Roman" w:cs="Times New Roman"/>
                <w:sz w:val="16"/>
                <w:szCs w:val="24"/>
              </w:rPr>
              <w:t>年</w:t>
            </w:r>
          </w:p>
        </w:tc>
        <w:tc>
          <w:tcPr>
            <w:tcW w:w="839" w:type="dxa"/>
          </w:tcPr>
          <w:p w:rsidR="00F717E3" w:rsidRPr="009B4F50" w:rsidRDefault="00D33ABE" w:rsidP="00D956D2">
            <w:pPr>
              <w:jc w:val="both"/>
              <w:rPr>
                <w:rFonts w:ascii="Times New Roman" w:eastAsiaTheme="majorEastAsia" w:hAnsi="Times New Roman" w:cs="Times New Roman"/>
                <w:sz w:val="16"/>
                <w:szCs w:val="24"/>
              </w:rPr>
            </w:pPr>
            <w:r w:rsidRPr="009B4F50">
              <w:rPr>
                <w:rFonts w:ascii="Times New Roman" w:eastAsiaTheme="majorEastAsia" w:hAnsi="Times New Roman" w:cs="Times New Roman"/>
                <w:sz w:val="16"/>
                <w:szCs w:val="24"/>
              </w:rPr>
              <w:t>3.4</w:t>
            </w:r>
            <w:r w:rsidRPr="009B4F50">
              <w:rPr>
                <w:rFonts w:ascii="Times New Roman" w:eastAsiaTheme="majorEastAsia" w:hAnsi="Times New Roman" w:cs="Times New Roman"/>
                <w:sz w:val="16"/>
                <w:szCs w:val="24"/>
              </w:rPr>
              <w:t>年</w:t>
            </w:r>
          </w:p>
        </w:tc>
        <w:tc>
          <w:tcPr>
            <w:tcW w:w="822" w:type="dxa"/>
          </w:tcPr>
          <w:p w:rsidR="00F717E3" w:rsidRPr="009B4F50" w:rsidRDefault="00F717E3" w:rsidP="00D956D2">
            <w:pPr>
              <w:jc w:val="both"/>
              <w:rPr>
                <w:rFonts w:ascii="Times New Roman" w:eastAsiaTheme="majorEastAsia" w:hAnsi="Times New Roman" w:cs="Times New Roman"/>
                <w:sz w:val="16"/>
                <w:szCs w:val="24"/>
              </w:rPr>
            </w:pPr>
            <w:r w:rsidRPr="009B4F50">
              <w:rPr>
                <w:rFonts w:ascii="Times New Roman" w:eastAsiaTheme="majorEastAsia" w:hAnsi="Times New Roman" w:cs="Times New Roman"/>
                <w:sz w:val="16"/>
                <w:szCs w:val="24"/>
              </w:rPr>
              <w:t>3.6</w:t>
            </w:r>
            <w:r w:rsidRPr="009B4F50">
              <w:rPr>
                <w:rFonts w:ascii="Times New Roman" w:eastAsiaTheme="majorEastAsia" w:hAnsi="Times New Roman" w:cs="Times New Roman"/>
                <w:sz w:val="16"/>
                <w:szCs w:val="24"/>
              </w:rPr>
              <w:t>年</w:t>
            </w:r>
          </w:p>
        </w:tc>
      </w:tr>
      <w:tr w:rsidR="00F717E3" w:rsidRPr="009B4F50" w:rsidTr="00BA0B1F">
        <w:tc>
          <w:tcPr>
            <w:tcW w:w="1477" w:type="dxa"/>
          </w:tcPr>
          <w:p w:rsidR="00F717E3" w:rsidRPr="009B4F50" w:rsidRDefault="00F717E3" w:rsidP="00D956D2">
            <w:pPr>
              <w:jc w:val="both"/>
              <w:rPr>
                <w:rFonts w:ascii="Times New Roman" w:eastAsiaTheme="majorEastAsia" w:hAnsi="Times New Roman" w:cs="Times New Roman"/>
                <w:sz w:val="16"/>
                <w:szCs w:val="24"/>
              </w:rPr>
            </w:pPr>
            <w:r w:rsidRPr="009B4F50">
              <w:rPr>
                <w:rFonts w:ascii="Times New Roman" w:eastAsiaTheme="majorEastAsia" w:hAnsi="Times New Roman" w:cs="Times New Roman"/>
                <w:sz w:val="16"/>
                <w:szCs w:val="24"/>
              </w:rPr>
              <w:t>長者一人申請者平均輪候時間</w:t>
            </w:r>
          </w:p>
        </w:tc>
        <w:tc>
          <w:tcPr>
            <w:tcW w:w="839" w:type="dxa"/>
          </w:tcPr>
          <w:p w:rsidR="00F717E3" w:rsidRPr="009B4F50" w:rsidRDefault="00F717E3" w:rsidP="00D956D2">
            <w:pPr>
              <w:jc w:val="both"/>
              <w:rPr>
                <w:rFonts w:ascii="Times New Roman" w:eastAsiaTheme="majorEastAsia" w:hAnsi="Times New Roman" w:cs="Times New Roman"/>
                <w:sz w:val="16"/>
                <w:szCs w:val="24"/>
              </w:rPr>
            </w:pPr>
            <w:r w:rsidRPr="009B4F50">
              <w:rPr>
                <w:rFonts w:ascii="Times New Roman" w:eastAsiaTheme="majorEastAsia" w:hAnsi="Times New Roman" w:cs="Times New Roman"/>
                <w:sz w:val="16"/>
                <w:szCs w:val="24"/>
              </w:rPr>
              <w:t>1.1</w:t>
            </w:r>
            <w:r w:rsidRPr="009B4F50">
              <w:rPr>
                <w:rFonts w:ascii="Times New Roman" w:eastAsiaTheme="majorEastAsia" w:hAnsi="Times New Roman" w:cs="Times New Roman"/>
                <w:sz w:val="16"/>
                <w:szCs w:val="24"/>
              </w:rPr>
              <w:t>年</w:t>
            </w:r>
          </w:p>
        </w:tc>
        <w:tc>
          <w:tcPr>
            <w:tcW w:w="838" w:type="dxa"/>
          </w:tcPr>
          <w:p w:rsidR="00F717E3" w:rsidRPr="009B4F50" w:rsidRDefault="00F717E3" w:rsidP="00D956D2">
            <w:pPr>
              <w:jc w:val="both"/>
              <w:rPr>
                <w:rFonts w:ascii="Times New Roman" w:eastAsiaTheme="majorEastAsia" w:hAnsi="Times New Roman" w:cs="Times New Roman"/>
                <w:sz w:val="16"/>
                <w:szCs w:val="24"/>
              </w:rPr>
            </w:pPr>
            <w:r w:rsidRPr="009B4F50">
              <w:rPr>
                <w:rFonts w:ascii="Times New Roman" w:eastAsiaTheme="majorEastAsia" w:hAnsi="Times New Roman" w:cs="Times New Roman"/>
                <w:sz w:val="16"/>
                <w:szCs w:val="24"/>
              </w:rPr>
              <w:t>1.2</w:t>
            </w:r>
            <w:r w:rsidRPr="009B4F50">
              <w:rPr>
                <w:rFonts w:ascii="Times New Roman" w:eastAsiaTheme="majorEastAsia" w:hAnsi="Times New Roman" w:cs="Times New Roman"/>
                <w:sz w:val="16"/>
                <w:szCs w:val="24"/>
              </w:rPr>
              <w:t>年</w:t>
            </w:r>
          </w:p>
        </w:tc>
        <w:tc>
          <w:tcPr>
            <w:tcW w:w="839" w:type="dxa"/>
          </w:tcPr>
          <w:p w:rsidR="00F717E3" w:rsidRPr="009B4F50" w:rsidRDefault="00F717E3" w:rsidP="00D956D2">
            <w:pPr>
              <w:jc w:val="both"/>
              <w:rPr>
                <w:rFonts w:ascii="Times New Roman" w:eastAsiaTheme="majorEastAsia" w:hAnsi="Times New Roman" w:cs="Times New Roman"/>
                <w:sz w:val="16"/>
                <w:szCs w:val="24"/>
              </w:rPr>
            </w:pPr>
            <w:r w:rsidRPr="009B4F50">
              <w:rPr>
                <w:rFonts w:ascii="Times New Roman" w:eastAsiaTheme="majorEastAsia" w:hAnsi="Times New Roman" w:cs="Times New Roman"/>
                <w:sz w:val="16"/>
                <w:szCs w:val="24"/>
              </w:rPr>
              <w:t>1.1</w:t>
            </w:r>
            <w:r w:rsidRPr="009B4F50">
              <w:rPr>
                <w:rFonts w:ascii="Times New Roman" w:eastAsiaTheme="majorEastAsia" w:hAnsi="Times New Roman" w:cs="Times New Roman"/>
                <w:sz w:val="16"/>
                <w:szCs w:val="24"/>
              </w:rPr>
              <w:t>年</w:t>
            </w:r>
          </w:p>
        </w:tc>
        <w:tc>
          <w:tcPr>
            <w:tcW w:w="839" w:type="dxa"/>
          </w:tcPr>
          <w:p w:rsidR="00F717E3" w:rsidRPr="009B4F50" w:rsidRDefault="00F717E3" w:rsidP="00D956D2">
            <w:pPr>
              <w:jc w:val="both"/>
              <w:rPr>
                <w:rFonts w:ascii="Times New Roman" w:eastAsiaTheme="majorEastAsia" w:hAnsi="Times New Roman" w:cs="Times New Roman"/>
                <w:sz w:val="16"/>
                <w:szCs w:val="24"/>
              </w:rPr>
            </w:pPr>
            <w:r w:rsidRPr="009B4F50">
              <w:rPr>
                <w:rFonts w:ascii="Times New Roman" w:eastAsiaTheme="majorEastAsia" w:hAnsi="Times New Roman" w:cs="Times New Roman"/>
                <w:sz w:val="16"/>
                <w:szCs w:val="24"/>
              </w:rPr>
              <w:t>1.1</w:t>
            </w:r>
            <w:r w:rsidRPr="009B4F50">
              <w:rPr>
                <w:rFonts w:ascii="Times New Roman" w:eastAsiaTheme="majorEastAsia" w:hAnsi="Times New Roman" w:cs="Times New Roman"/>
                <w:sz w:val="16"/>
                <w:szCs w:val="24"/>
              </w:rPr>
              <w:t>年</w:t>
            </w:r>
          </w:p>
        </w:tc>
        <w:tc>
          <w:tcPr>
            <w:tcW w:w="839" w:type="dxa"/>
          </w:tcPr>
          <w:p w:rsidR="00F717E3" w:rsidRPr="009B4F50" w:rsidRDefault="00F717E3" w:rsidP="00D956D2">
            <w:pPr>
              <w:jc w:val="both"/>
              <w:rPr>
                <w:rFonts w:ascii="Times New Roman" w:eastAsiaTheme="majorEastAsia" w:hAnsi="Times New Roman" w:cs="Times New Roman"/>
                <w:sz w:val="16"/>
                <w:szCs w:val="24"/>
              </w:rPr>
            </w:pPr>
            <w:r w:rsidRPr="009B4F50">
              <w:rPr>
                <w:rFonts w:ascii="Times New Roman" w:eastAsiaTheme="majorEastAsia" w:hAnsi="Times New Roman" w:cs="Times New Roman"/>
                <w:sz w:val="16"/>
                <w:szCs w:val="24"/>
              </w:rPr>
              <w:t>1.4</w:t>
            </w:r>
            <w:r w:rsidRPr="009B4F50">
              <w:rPr>
                <w:rFonts w:ascii="Times New Roman" w:eastAsiaTheme="majorEastAsia" w:hAnsi="Times New Roman" w:cs="Times New Roman"/>
                <w:sz w:val="16"/>
                <w:szCs w:val="24"/>
              </w:rPr>
              <w:t>年</w:t>
            </w:r>
          </w:p>
        </w:tc>
        <w:tc>
          <w:tcPr>
            <w:tcW w:w="839" w:type="dxa"/>
          </w:tcPr>
          <w:p w:rsidR="00F717E3" w:rsidRPr="009B4F50" w:rsidRDefault="00F717E3" w:rsidP="00D956D2">
            <w:pPr>
              <w:jc w:val="both"/>
              <w:rPr>
                <w:rFonts w:ascii="Times New Roman" w:eastAsiaTheme="majorEastAsia" w:hAnsi="Times New Roman" w:cs="Times New Roman"/>
                <w:sz w:val="16"/>
                <w:szCs w:val="24"/>
              </w:rPr>
            </w:pPr>
            <w:r w:rsidRPr="009B4F50">
              <w:rPr>
                <w:rFonts w:ascii="Times New Roman" w:eastAsiaTheme="majorEastAsia" w:hAnsi="Times New Roman" w:cs="Times New Roman"/>
                <w:sz w:val="16"/>
                <w:szCs w:val="24"/>
              </w:rPr>
              <w:t>1.5</w:t>
            </w:r>
            <w:r w:rsidRPr="009B4F50">
              <w:rPr>
                <w:rFonts w:ascii="Times New Roman" w:eastAsiaTheme="majorEastAsia" w:hAnsi="Times New Roman" w:cs="Times New Roman"/>
                <w:sz w:val="16"/>
                <w:szCs w:val="24"/>
              </w:rPr>
              <w:t>年</w:t>
            </w:r>
          </w:p>
        </w:tc>
        <w:tc>
          <w:tcPr>
            <w:tcW w:w="839" w:type="dxa"/>
          </w:tcPr>
          <w:p w:rsidR="00F717E3" w:rsidRPr="009B4F50" w:rsidRDefault="00F717E3" w:rsidP="00D956D2">
            <w:pPr>
              <w:jc w:val="both"/>
              <w:rPr>
                <w:rFonts w:ascii="Times New Roman" w:eastAsiaTheme="majorEastAsia" w:hAnsi="Times New Roman" w:cs="Times New Roman"/>
                <w:sz w:val="16"/>
                <w:szCs w:val="24"/>
              </w:rPr>
            </w:pPr>
            <w:r w:rsidRPr="009B4F50">
              <w:rPr>
                <w:rFonts w:ascii="Times New Roman" w:eastAsiaTheme="majorEastAsia" w:hAnsi="Times New Roman" w:cs="Times New Roman"/>
                <w:sz w:val="16"/>
                <w:szCs w:val="24"/>
              </w:rPr>
              <w:t>1.7</w:t>
            </w:r>
            <w:r w:rsidRPr="009B4F50">
              <w:rPr>
                <w:rFonts w:ascii="Times New Roman" w:eastAsiaTheme="majorEastAsia" w:hAnsi="Times New Roman" w:cs="Times New Roman"/>
                <w:sz w:val="16"/>
                <w:szCs w:val="24"/>
              </w:rPr>
              <w:t>年</w:t>
            </w:r>
          </w:p>
        </w:tc>
        <w:tc>
          <w:tcPr>
            <w:tcW w:w="839" w:type="dxa"/>
          </w:tcPr>
          <w:p w:rsidR="00F717E3" w:rsidRPr="009B4F50" w:rsidRDefault="00D33ABE" w:rsidP="00D956D2">
            <w:pPr>
              <w:jc w:val="both"/>
              <w:rPr>
                <w:rFonts w:ascii="Times New Roman" w:eastAsiaTheme="majorEastAsia" w:hAnsi="Times New Roman" w:cs="Times New Roman"/>
                <w:sz w:val="16"/>
                <w:szCs w:val="24"/>
              </w:rPr>
            </w:pPr>
            <w:r w:rsidRPr="009B4F50">
              <w:rPr>
                <w:rFonts w:ascii="Times New Roman" w:eastAsiaTheme="majorEastAsia" w:hAnsi="Times New Roman" w:cs="Times New Roman"/>
                <w:sz w:val="16"/>
                <w:szCs w:val="24"/>
              </w:rPr>
              <w:t>1.9</w:t>
            </w:r>
            <w:r w:rsidRPr="009B4F50">
              <w:rPr>
                <w:rFonts w:ascii="Times New Roman" w:eastAsiaTheme="majorEastAsia" w:hAnsi="Times New Roman" w:cs="Times New Roman"/>
                <w:sz w:val="16"/>
                <w:szCs w:val="24"/>
              </w:rPr>
              <w:t>年</w:t>
            </w:r>
          </w:p>
        </w:tc>
        <w:tc>
          <w:tcPr>
            <w:tcW w:w="822" w:type="dxa"/>
          </w:tcPr>
          <w:p w:rsidR="00F717E3" w:rsidRPr="009B4F50" w:rsidRDefault="00F717E3" w:rsidP="00D956D2">
            <w:pPr>
              <w:jc w:val="both"/>
              <w:rPr>
                <w:rFonts w:ascii="Times New Roman" w:eastAsiaTheme="majorEastAsia" w:hAnsi="Times New Roman" w:cs="Times New Roman"/>
                <w:sz w:val="16"/>
                <w:szCs w:val="24"/>
              </w:rPr>
            </w:pPr>
            <w:r w:rsidRPr="009B4F50">
              <w:rPr>
                <w:rFonts w:ascii="Times New Roman" w:eastAsiaTheme="majorEastAsia" w:hAnsi="Times New Roman" w:cs="Times New Roman"/>
                <w:sz w:val="16"/>
                <w:szCs w:val="24"/>
              </w:rPr>
              <w:t>2.0</w:t>
            </w:r>
            <w:r w:rsidRPr="009B4F50">
              <w:rPr>
                <w:rFonts w:ascii="Times New Roman" w:eastAsiaTheme="majorEastAsia" w:hAnsi="Times New Roman" w:cs="Times New Roman"/>
                <w:sz w:val="16"/>
                <w:szCs w:val="24"/>
              </w:rPr>
              <w:t>年</w:t>
            </w:r>
          </w:p>
        </w:tc>
      </w:tr>
    </w:tbl>
    <w:p w:rsidR="00BB45D1" w:rsidRPr="009B4F50" w:rsidRDefault="00F717E3" w:rsidP="00D956D2">
      <w:pPr>
        <w:jc w:val="both"/>
        <w:rPr>
          <w:rFonts w:ascii="Times New Roman" w:eastAsiaTheme="majorEastAsia" w:hAnsi="Times New Roman" w:cs="Times New Roman"/>
          <w:szCs w:val="24"/>
        </w:rPr>
      </w:pPr>
      <w:r w:rsidRPr="009B4F50">
        <w:rPr>
          <w:rFonts w:ascii="Times New Roman" w:eastAsiaTheme="majorEastAsia" w:hAnsi="Times New Roman" w:cs="Times New Roman"/>
          <w:szCs w:val="24"/>
        </w:rPr>
        <w:t xml:space="preserve">    </w:t>
      </w:r>
      <w:r w:rsidRPr="009B4F50">
        <w:rPr>
          <w:rFonts w:ascii="Times New Roman" w:eastAsiaTheme="majorEastAsia" w:hAnsi="Times New Roman" w:cs="Times New Roman"/>
          <w:szCs w:val="24"/>
        </w:rPr>
        <w:t>從上圖所見，近年公屋平均輪候時間急速惡化，</w:t>
      </w:r>
      <w:r w:rsidRPr="009B4F50">
        <w:rPr>
          <w:rFonts w:ascii="Times New Roman" w:eastAsiaTheme="majorEastAsia" w:hAnsi="Times New Roman" w:cs="Times New Roman"/>
          <w:b/>
          <w:szCs w:val="24"/>
        </w:rPr>
        <w:t>由</w:t>
      </w:r>
      <w:r w:rsidRPr="009B4F50">
        <w:rPr>
          <w:rFonts w:ascii="Times New Roman" w:eastAsiaTheme="majorEastAsia" w:hAnsi="Times New Roman" w:cs="Times New Roman"/>
          <w:b/>
          <w:szCs w:val="24"/>
        </w:rPr>
        <w:t>2008</w:t>
      </w:r>
      <w:r w:rsidRPr="009B4F50">
        <w:rPr>
          <w:rFonts w:ascii="Times New Roman" w:eastAsiaTheme="majorEastAsia" w:hAnsi="Times New Roman" w:cs="Times New Roman"/>
          <w:b/>
          <w:szCs w:val="24"/>
        </w:rPr>
        <w:t>年</w:t>
      </w:r>
      <w:r w:rsidR="00D33ABE" w:rsidRPr="009B4F50">
        <w:rPr>
          <w:rFonts w:ascii="Times New Roman" w:eastAsiaTheme="majorEastAsia" w:hAnsi="Times New Roman" w:cs="Times New Roman"/>
          <w:b/>
          <w:szCs w:val="24"/>
        </w:rPr>
        <w:t>一般申請者的</w:t>
      </w:r>
      <w:r w:rsidR="00D33ABE" w:rsidRPr="009B4F50">
        <w:rPr>
          <w:rFonts w:ascii="Times New Roman" w:eastAsiaTheme="majorEastAsia" w:hAnsi="Times New Roman" w:cs="Times New Roman"/>
          <w:b/>
          <w:szCs w:val="24"/>
        </w:rPr>
        <w:t>1.8</w:t>
      </w:r>
      <w:r w:rsidR="00D33ABE" w:rsidRPr="009B4F50">
        <w:rPr>
          <w:rFonts w:ascii="Times New Roman" w:eastAsiaTheme="majorEastAsia" w:hAnsi="Times New Roman" w:cs="Times New Roman"/>
          <w:b/>
          <w:szCs w:val="24"/>
        </w:rPr>
        <w:t>年，升至現時</w:t>
      </w:r>
      <w:r w:rsidR="00D33ABE" w:rsidRPr="009B4F50">
        <w:rPr>
          <w:rFonts w:ascii="Times New Roman" w:eastAsiaTheme="majorEastAsia" w:hAnsi="Times New Roman" w:cs="Times New Roman"/>
          <w:b/>
          <w:szCs w:val="24"/>
        </w:rPr>
        <w:t>3.6</w:t>
      </w:r>
      <w:r w:rsidR="00C31C76" w:rsidRPr="009B4F50">
        <w:rPr>
          <w:rFonts w:ascii="Times New Roman" w:eastAsiaTheme="majorEastAsia" w:hAnsi="Times New Roman" w:cs="Times New Roman"/>
          <w:b/>
          <w:szCs w:val="24"/>
        </w:rPr>
        <w:t>年，足足升了一倍</w:t>
      </w:r>
      <w:r w:rsidR="00BB45D1" w:rsidRPr="009B4F50">
        <w:rPr>
          <w:rFonts w:ascii="Times New Roman" w:eastAsiaTheme="majorEastAsia" w:hAnsi="Times New Roman" w:cs="Times New Roman"/>
          <w:b/>
          <w:szCs w:val="24"/>
        </w:rPr>
        <w:t>。</w:t>
      </w:r>
      <w:r w:rsidR="00BB45D1" w:rsidRPr="009B4F50">
        <w:rPr>
          <w:rFonts w:ascii="Times New Roman" w:eastAsiaTheme="majorEastAsia" w:hAnsi="Times New Roman" w:cs="Times New Roman"/>
          <w:szCs w:val="24"/>
        </w:rPr>
        <w:t>短短</w:t>
      </w:r>
      <w:r w:rsidR="00BB45D1" w:rsidRPr="009B4F50">
        <w:rPr>
          <w:rFonts w:ascii="Times New Roman" w:eastAsiaTheme="majorEastAsia" w:hAnsi="Times New Roman" w:cs="Times New Roman"/>
          <w:szCs w:val="24"/>
        </w:rPr>
        <w:t>3</w:t>
      </w:r>
      <w:r w:rsidR="00BB45D1" w:rsidRPr="009B4F50">
        <w:rPr>
          <w:rFonts w:ascii="Times New Roman" w:eastAsiaTheme="majorEastAsia" w:hAnsi="Times New Roman" w:cs="Times New Roman"/>
          <w:szCs w:val="24"/>
        </w:rPr>
        <w:t>個月時間，由</w:t>
      </w:r>
      <w:r w:rsidR="00BB45D1" w:rsidRPr="009B4F50">
        <w:rPr>
          <w:rFonts w:ascii="Times New Roman" w:eastAsiaTheme="majorEastAsia" w:hAnsi="Times New Roman" w:cs="Times New Roman"/>
          <w:szCs w:val="24"/>
        </w:rPr>
        <w:t>3.4</w:t>
      </w:r>
      <w:r w:rsidR="00BB45D1" w:rsidRPr="009B4F50">
        <w:rPr>
          <w:rFonts w:ascii="Times New Roman" w:eastAsiaTheme="majorEastAsia" w:hAnsi="Times New Roman" w:cs="Times New Roman"/>
          <w:szCs w:val="24"/>
        </w:rPr>
        <w:t>年增加至</w:t>
      </w:r>
      <w:r w:rsidR="00BB45D1" w:rsidRPr="009B4F50">
        <w:rPr>
          <w:rFonts w:ascii="Times New Roman" w:eastAsiaTheme="majorEastAsia" w:hAnsi="Times New Roman" w:cs="Times New Roman"/>
          <w:szCs w:val="24"/>
        </w:rPr>
        <w:t>3.6</w:t>
      </w:r>
      <w:r w:rsidR="00BB45D1" w:rsidRPr="009B4F50">
        <w:rPr>
          <w:rFonts w:ascii="Times New Roman" w:eastAsiaTheme="majorEastAsia" w:hAnsi="Times New Roman" w:cs="Times New Roman"/>
          <w:szCs w:val="24"/>
        </w:rPr>
        <w:t>年。</w:t>
      </w:r>
    </w:p>
    <w:p w:rsidR="00C31C76" w:rsidRDefault="00D33ABE" w:rsidP="00D956D2">
      <w:pPr>
        <w:jc w:val="both"/>
        <w:rPr>
          <w:rFonts w:ascii="Times New Roman" w:eastAsiaTheme="majorEastAsia" w:hAnsi="Times New Roman" w:cs="Times New Roman"/>
          <w:szCs w:val="24"/>
        </w:rPr>
      </w:pPr>
      <w:r w:rsidRPr="009B4F50">
        <w:rPr>
          <w:rFonts w:ascii="Times New Roman" w:eastAsiaTheme="majorEastAsia" w:hAnsi="Times New Roman" w:cs="Times New Roman"/>
          <w:szCs w:val="24"/>
        </w:rPr>
        <w:t>而長者一人也由</w:t>
      </w:r>
      <w:r w:rsidRPr="009B4F50">
        <w:rPr>
          <w:rFonts w:ascii="Times New Roman" w:eastAsiaTheme="majorEastAsia" w:hAnsi="Times New Roman" w:cs="Times New Roman"/>
          <w:szCs w:val="24"/>
        </w:rPr>
        <w:t>1.1</w:t>
      </w:r>
      <w:r w:rsidR="00C31C76" w:rsidRPr="009B4F50">
        <w:rPr>
          <w:rFonts w:ascii="Times New Roman" w:eastAsiaTheme="majorEastAsia" w:hAnsi="Times New Roman" w:cs="Times New Roman"/>
          <w:szCs w:val="24"/>
        </w:rPr>
        <w:t>年急升接近一倍。以上反映公屋興建未能滿足需求，導致輪候宗數及</w:t>
      </w:r>
      <w:r w:rsidR="00A2093A" w:rsidRPr="009B4F50">
        <w:rPr>
          <w:rFonts w:ascii="Times New Roman" w:eastAsiaTheme="majorEastAsia" w:hAnsi="Times New Roman" w:cs="Times New Roman"/>
          <w:szCs w:val="24"/>
        </w:rPr>
        <w:t>輪候</w:t>
      </w:r>
      <w:r w:rsidR="00C31C76" w:rsidRPr="009B4F50">
        <w:rPr>
          <w:rFonts w:ascii="Times New Roman" w:eastAsiaTheme="majorEastAsia" w:hAnsi="Times New Roman" w:cs="Times New Roman"/>
          <w:szCs w:val="24"/>
        </w:rPr>
        <w:t>時間不斷破頂。</w:t>
      </w:r>
    </w:p>
    <w:p w:rsidR="00E674E6" w:rsidRPr="009B4F50" w:rsidRDefault="00E674E6" w:rsidP="00D956D2">
      <w:pPr>
        <w:jc w:val="both"/>
        <w:rPr>
          <w:rFonts w:ascii="Times New Roman" w:eastAsiaTheme="majorEastAsia" w:hAnsi="Times New Roman" w:cs="Times New Roman"/>
          <w:szCs w:val="24"/>
        </w:rPr>
      </w:pPr>
    </w:p>
    <w:p w:rsidR="00C31C76" w:rsidRPr="009B4F50" w:rsidRDefault="00A2093A" w:rsidP="00C31C76">
      <w:pPr>
        <w:pStyle w:val="ListParagraph"/>
        <w:numPr>
          <w:ilvl w:val="0"/>
          <w:numId w:val="13"/>
        </w:numPr>
        <w:ind w:leftChars="0"/>
        <w:jc w:val="both"/>
        <w:rPr>
          <w:rFonts w:ascii="Times New Roman" w:eastAsiaTheme="majorEastAsia" w:hAnsi="Times New Roman" w:cs="Times New Roman"/>
          <w:szCs w:val="24"/>
          <w:u w:val="single"/>
        </w:rPr>
      </w:pPr>
      <w:r w:rsidRPr="009B4F50">
        <w:rPr>
          <w:rFonts w:ascii="Times New Roman" w:eastAsiaTheme="majorEastAsia" w:hAnsi="Times New Roman" w:cs="Times New Roman"/>
          <w:b/>
          <w:szCs w:val="24"/>
          <w:u w:val="single"/>
        </w:rPr>
        <w:t>公屋興建供不應求</w:t>
      </w:r>
    </w:p>
    <w:p w:rsidR="00204571" w:rsidRDefault="00A2093A" w:rsidP="00D956D2">
      <w:pPr>
        <w:jc w:val="both"/>
        <w:rPr>
          <w:rFonts w:ascii="Times New Roman" w:eastAsiaTheme="majorEastAsia" w:hAnsi="Times New Roman" w:cs="Times New Roman"/>
          <w:szCs w:val="24"/>
        </w:rPr>
      </w:pPr>
      <w:r w:rsidRPr="009B4F50">
        <w:rPr>
          <w:rFonts w:ascii="Times New Roman" w:eastAsiaTheme="majorEastAsia" w:hAnsi="Times New Roman" w:cs="Times New Roman"/>
          <w:szCs w:val="24"/>
        </w:rPr>
        <w:t xml:space="preserve">    </w:t>
      </w:r>
      <w:r w:rsidRPr="009B4F50">
        <w:rPr>
          <w:rFonts w:ascii="Times New Roman" w:eastAsiaTheme="majorEastAsia" w:hAnsi="Times New Roman" w:cs="Times New Roman"/>
          <w:szCs w:val="24"/>
        </w:rPr>
        <w:t>政府在上年底發表的</w:t>
      </w:r>
      <w:r w:rsidRPr="009B4F50">
        <w:rPr>
          <w:rFonts w:ascii="Times New Roman" w:eastAsiaTheme="majorEastAsia" w:hAnsi="Times New Roman" w:cs="Times New Roman"/>
          <w:szCs w:val="24"/>
        </w:rPr>
        <w:t>&lt;&lt;</w:t>
      </w:r>
      <w:r w:rsidRPr="009B4F50">
        <w:rPr>
          <w:rFonts w:ascii="Times New Roman" w:eastAsiaTheme="majorEastAsia" w:hAnsi="Times New Roman" w:cs="Times New Roman"/>
          <w:szCs w:val="24"/>
        </w:rPr>
        <w:t>長遠房屋策略</w:t>
      </w:r>
      <w:r w:rsidRPr="009B4F50">
        <w:rPr>
          <w:rFonts w:ascii="Times New Roman" w:eastAsiaTheme="majorEastAsia" w:hAnsi="Times New Roman" w:cs="Times New Roman"/>
          <w:szCs w:val="24"/>
        </w:rPr>
        <w:t>&gt;&gt;</w:t>
      </w:r>
      <w:r w:rsidRPr="009B4F50">
        <w:rPr>
          <w:rFonts w:ascii="Times New Roman" w:eastAsiaTheme="majorEastAsia" w:hAnsi="Times New Roman" w:cs="Times New Roman"/>
          <w:szCs w:val="24"/>
        </w:rPr>
        <w:t>中推算出由</w:t>
      </w:r>
      <w:r w:rsidRPr="009B4F50">
        <w:rPr>
          <w:rFonts w:ascii="Times New Roman" w:eastAsiaTheme="majorEastAsia" w:hAnsi="Times New Roman" w:cs="Times New Roman"/>
          <w:szCs w:val="24"/>
        </w:rPr>
        <w:t>2015/16</w:t>
      </w:r>
      <w:r w:rsidRPr="009B4F50">
        <w:rPr>
          <w:rFonts w:ascii="Times New Roman" w:eastAsiaTheme="majorEastAsia" w:hAnsi="Times New Roman" w:cs="Times New Roman"/>
          <w:szCs w:val="24"/>
        </w:rPr>
        <w:t>年度至</w:t>
      </w:r>
      <w:r w:rsidRPr="009B4F50">
        <w:rPr>
          <w:rFonts w:ascii="Times New Roman" w:eastAsiaTheme="majorEastAsia" w:hAnsi="Times New Roman" w:cs="Times New Roman"/>
          <w:szCs w:val="24"/>
        </w:rPr>
        <w:t>2024/25</w:t>
      </w:r>
      <w:r w:rsidRPr="009B4F50">
        <w:rPr>
          <w:rFonts w:ascii="Times New Roman" w:eastAsiaTheme="majorEastAsia" w:hAnsi="Times New Roman" w:cs="Times New Roman"/>
          <w:szCs w:val="24"/>
        </w:rPr>
        <w:t>年度，未來</w:t>
      </w:r>
      <w:r w:rsidRPr="009B4F50">
        <w:rPr>
          <w:rFonts w:ascii="Times New Roman" w:eastAsiaTheme="majorEastAsia" w:hAnsi="Times New Roman" w:cs="Times New Roman"/>
          <w:szCs w:val="24"/>
        </w:rPr>
        <w:t>10</w:t>
      </w:r>
      <w:r w:rsidRPr="009B4F50">
        <w:rPr>
          <w:rFonts w:ascii="Times New Roman" w:eastAsiaTheme="majorEastAsia" w:hAnsi="Times New Roman" w:cs="Times New Roman"/>
          <w:szCs w:val="24"/>
        </w:rPr>
        <w:t>年的公營房屋供應目標為</w:t>
      </w:r>
      <w:r w:rsidRPr="009B4F50">
        <w:rPr>
          <w:rFonts w:ascii="Times New Roman" w:eastAsiaTheme="majorEastAsia" w:hAnsi="Times New Roman" w:cs="Times New Roman"/>
          <w:szCs w:val="24"/>
        </w:rPr>
        <w:t xml:space="preserve"> 290,000</w:t>
      </w:r>
      <w:r w:rsidRPr="009B4F50">
        <w:rPr>
          <w:rFonts w:ascii="Times New Roman" w:eastAsiaTheme="majorEastAsia" w:hAnsi="Times New Roman" w:cs="Times New Roman"/>
          <w:szCs w:val="24"/>
        </w:rPr>
        <w:t>個單位，包括</w:t>
      </w:r>
      <w:r w:rsidRPr="009B4F50">
        <w:rPr>
          <w:rFonts w:ascii="Times New Roman" w:eastAsiaTheme="majorEastAsia" w:hAnsi="Times New Roman" w:cs="Times New Roman"/>
          <w:szCs w:val="24"/>
        </w:rPr>
        <w:t>90,000</w:t>
      </w:r>
      <w:r w:rsidRPr="009B4F50">
        <w:rPr>
          <w:rFonts w:ascii="Times New Roman" w:eastAsiaTheme="majorEastAsia" w:hAnsi="Times New Roman" w:cs="Times New Roman"/>
          <w:szCs w:val="24"/>
        </w:rPr>
        <w:t>個資助出售單位及</w:t>
      </w:r>
      <w:r w:rsidRPr="009B4F50">
        <w:rPr>
          <w:rFonts w:ascii="Times New Roman" w:eastAsiaTheme="majorEastAsia" w:hAnsi="Times New Roman" w:cs="Times New Roman"/>
          <w:szCs w:val="24"/>
        </w:rPr>
        <w:t>200,000</w:t>
      </w:r>
      <w:r w:rsidRPr="009B4F50">
        <w:rPr>
          <w:rFonts w:ascii="Times New Roman" w:eastAsiaTheme="majorEastAsia" w:hAnsi="Times New Roman" w:cs="Times New Roman"/>
          <w:szCs w:val="24"/>
        </w:rPr>
        <w:t>個公屋單位。但在數字上，</w:t>
      </w:r>
      <w:r w:rsidRPr="009B4F50">
        <w:rPr>
          <w:rFonts w:ascii="Times New Roman" w:eastAsiaTheme="majorEastAsia" w:hAnsi="Times New Roman" w:cs="Times New Roman"/>
          <w:b/>
          <w:szCs w:val="24"/>
        </w:rPr>
        <w:t>政府並未將公屋輪候冊上的輪候個案納入推算範圍之內，令人質疑此推算嚴重低估了實際的需要。</w:t>
      </w:r>
      <w:r w:rsidRPr="009B4F50">
        <w:rPr>
          <w:rFonts w:ascii="Times New Roman" w:eastAsiaTheme="majorEastAsia" w:hAnsi="Times New Roman" w:cs="Times New Roman"/>
          <w:szCs w:val="24"/>
        </w:rPr>
        <w:t>平均每年</w:t>
      </w:r>
      <w:r w:rsidRPr="009B4F50">
        <w:rPr>
          <w:rFonts w:ascii="Times New Roman" w:eastAsiaTheme="majorEastAsia" w:hAnsi="Times New Roman" w:cs="Times New Roman"/>
          <w:szCs w:val="24"/>
        </w:rPr>
        <w:t>20,000</w:t>
      </w:r>
      <w:r w:rsidRPr="009B4F50">
        <w:rPr>
          <w:rFonts w:ascii="Times New Roman" w:eastAsiaTheme="majorEastAsia" w:hAnsi="Times New Roman" w:cs="Times New Roman"/>
          <w:szCs w:val="24"/>
        </w:rPr>
        <w:t>的公屋興建量，根本無法消化現時輪候冊上等候已久的申請，再加上按季不斷攀升的申請，輪候時間勢結果不斷延長，基層市民只好繼續蝸居劏房，自求多福。再者，在執行上，從覓地阻礙到工程延誤，政府是否能如期落實十年建屋目標亦成疑。</w:t>
      </w:r>
      <w:r w:rsidRPr="009B4F50">
        <w:rPr>
          <w:rFonts w:ascii="Times New Roman" w:eastAsiaTheme="majorEastAsia" w:hAnsi="Times New Roman" w:cs="Times New Roman"/>
          <w:b/>
          <w:szCs w:val="24"/>
        </w:rPr>
        <w:t>近月政府已承認以現時找到的土地只足夠建近</w:t>
      </w:r>
      <w:r w:rsidRPr="009B4F50">
        <w:rPr>
          <w:rFonts w:ascii="Times New Roman" w:eastAsiaTheme="majorEastAsia" w:hAnsi="Times New Roman" w:cs="Times New Roman"/>
          <w:b/>
          <w:szCs w:val="24"/>
        </w:rPr>
        <w:t>25</w:t>
      </w:r>
      <w:r w:rsidRPr="009B4F50">
        <w:rPr>
          <w:rFonts w:ascii="Times New Roman" w:eastAsiaTheme="majorEastAsia" w:hAnsi="Times New Roman" w:cs="Times New Roman"/>
          <w:b/>
          <w:szCs w:val="24"/>
        </w:rPr>
        <w:t>萬個單位，與長遠房屋策略中定下的目標存在一定差距。</w:t>
      </w:r>
      <w:r w:rsidRPr="009B4F50">
        <w:rPr>
          <w:rFonts w:ascii="Times New Roman" w:eastAsiaTheme="majorEastAsia" w:hAnsi="Times New Roman" w:cs="Times New Roman"/>
          <w:szCs w:val="24"/>
        </w:rPr>
        <w:t>如政府延續現時｢低決心｣、｢低力度｣的房屋政策介入，香港的房屋問題只會不斷惡化，民不聊生。</w:t>
      </w:r>
    </w:p>
    <w:p w:rsidR="00E674E6" w:rsidRPr="009B4F50" w:rsidRDefault="00E674E6" w:rsidP="00D956D2">
      <w:pPr>
        <w:jc w:val="both"/>
        <w:rPr>
          <w:rFonts w:ascii="Times New Roman" w:eastAsiaTheme="majorEastAsia" w:hAnsi="Times New Roman" w:cs="Times New Roman"/>
          <w:b/>
          <w:szCs w:val="24"/>
        </w:rPr>
      </w:pPr>
    </w:p>
    <w:p w:rsidR="0040046D" w:rsidRPr="009B4F50" w:rsidRDefault="0040046D" w:rsidP="004753BC">
      <w:pPr>
        <w:pStyle w:val="10"/>
        <w:widowControl w:val="0"/>
        <w:numPr>
          <w:ilvl w:val="0"/>
          <w:numId w:val="13"/>
        </w:numPr>
        <w:spacing w:line="120" w:lineRule="atLeast"/>
        <w:jc w:val="both"/>
        <w:rPr>
          <w:b/>
          <w:szCs w:val="24"/>
          <w:u w:val="single"/>
        </w:rPr>
      </w:pPr>
      <w:r w:rsidRPr="009B4F50">
        <w:rPr>
          <w:b/>
          <w:szCs w:val="24"/>
          <w:u w:val="single"/>
        </w:rPr>
        <w:t>輪候時間純屬取巧</w:t>
      </w:r>
    </w:p>
    <w:p w:rsidR="00C31C76" w:rsidRDefault="0040046D" w:rsidP="0040046D">
      <w:pPr>
        <w:jc w:val="both"/>
        <w:rPr>
          <w:rFonts w:ascii="Times New Roman" w:hAnsi="Times New Roman" w:cs="Times New Roman"/>
          <w:b/>
          <w:szCs w:val="24"/>
        </w:rPr>
      </w:pPr>
      <w:r w:rsidRPr="009B4F50">
        <w:rPr>
          <w:rFonts w:ascii="Times New Roman" w:hAnsi="Times New Roman" w:cs="Times New Roman"/>
          <w:szCs w:val="24"/>
        </w:rPr>
        <w:t xml:space="preserve">    </w:t>
      </w:r>
      <w:r w:rsidRPr="009B4F50">
        <w:rPr>
          <w:rFonts w:ascii="Times New Roman" w:eastAsiaTheme="majorEastAsia" w:hAnsi="Times New Roman" w:cs="Times New Roman"/>
          <w:szCs w:val="24"/>
        </w:rPr>
        <w:t>事實上，本會接觸不少個案，輪候時間遠超</w:t>
      </w:r>
      <w:r w:rsidRPr="009B4F50">
        <w:rPr>
          <w:rFonts w:ascii="Times New Roman" w:eastAsiaTheme="majorEastAsia" w:hAnsi="Times New Roman" w:cs="Times New Roman"/>
          <w:szCs w:val="24"/>
        </w:rPr>
        <w:t>3</w:t>
      </w:r>
      <w:r w:rsidR="00BB45D1" w:rsidRPr="009B4F50">
        <w:rPr>
          <w:rFonts w:ascii="Times New Roman" w:eastAsiaTheme="majorEastAsia" w:hAnsi="Times New Roman" w:cs="Times New Roman"/>
          <w:szCs w:val="24"/>
        </w:rPr>
        <w:t>.6</w:t>
      </w:r>
      <w:r w:rsidRPr="009B4F50">
        <w:rPr>
          <w:rFonts w:ascii="Times New Roman" w:eastAsiaTheme="majorEastAsia" w:hAnsi="Times New Roman" w:cs="Times New Roman"/>
          <w:szCs w:val="24"/>
        </w:rPr>
        <w:t>年，</w:t>
      </w:r>
      <w:r w:rsidRPr="009B4F50">
        <w:rPr>
          <w:rFonts w:ascii="Times New Roman" w:eastAsiaTheme="majorEastAsia" w:hAnsi="Times New Roman" w:cs="Times New Roman"/>
          <w:b/>
          <w:szCs w:val="24"/>
        </w:rPr>
        <w:t>原因是</w:t>
      </w:r>
      <w:r w:rsidRPr="009B4F50">
        <w:rPr>
          <w:rFonts w:ascii="Times New Roman" w:hAnsi="Times New Roman" w:cs="Times New Roman"/>
          <w:b/>
          <w:szCs w:val="24"/>
        </w:rPr>
        <w:t>輪候冊一般申請者的平均輪候時間，是指過去</w:t>
      </w:r>
      <w:r w:rsidRPr="009B4F50">
        <w:rPr>
          <w:rFonts w:ascii="Times New Roman" w:hAnsi="Times New Roman" w:cs="Times New Roman"/>
          <w:b/>
          <w:szCs w:val="24"/>
        </w:rPr>
        <w:t>12</w:t>
      </w:r>
      <w:r w:rsidRPr="009B4F50">
        <w:rPr>
          <w:rFonts w:ascii="Times New Roman" w:hAnsi="Times New Roman" w:cs="Times New Roman"/>
          <w:b/>
          <w:szCs w:val="24"/>
        </w:rPr>
        <w:t>個月獲安置入住公屋的申請者，由登記在輪候冊以至獲得首次編配時的平均輪候時間</w:t>
      </w:r>
      <w:r w:rsidRPr="009B4F50">
        <w:rPr>
          <w:rStyle w:val="FootnoteReference"/>
          <w:rFonts w:ascii="Times New Roman" w:hAnsi="Times New Roman" w:cs="Times New Roman"/>
          <w:b/>
          <w:szCs w:val="24"/>
        </w:rPr>
        <w:footnoteReference w:id="1"/>
      </w:r>
      <w:r w:rsidRPr="009B4F50">
        <w:rPr>
          <w:rFonts w:ascii="Times New Roman" w:hAnsi="Times New Roman" w:cs="Times New Roman"/>
          <w:b/>
          <w:szCs w:val="24"/>
        </w:rPr>
        <w:t>。</w:t>
      </w:r>
      <w:r w:rsidRPr="009B4F50">
        <w:rPr>
          <w:rFonts w:ascii="Times New Roman" w:hAnsi="Times New Roman" w:cs="Times New Roman"/>
          <w:szCs w:val="24"/>
        </w:rPr>
        <w:t>但要注意是，</w:t>
      </w:r>
      <w:r w:rsidRPr="009B4F50">
        <w:rPr>
          <w:rFonts w:ascii="Times New Roman" w:hAnsi="Times New Roman" w:cs="Times New Roman"/>
          <w:b/>
          <w:szCs w:val="24"/>
        </w:rPr>
        <w:t>平均輪候時間僅計算過</w:t>
      </w:r>
      <w:r w:rsidRPr="009B4F50">
        <w:rPr>
          <w:rFonts w:ascii="Times New Roman" w:hAnsi="Times New Roman" w:cs="Times New Roman"/>
          <w:b/>
          <w:szCs w:val="24"/>
        </w:rPr>
        <w:lastRenderedPageBreak/>
        <w:t>去</w:t>
      </w:r>
      <w:r w:rsidRPr="009B4F50">
        <w:rPr>
          <w:rFonts w:ascii="Times New Roman" w:hAnsi="Times New Roman" w:cs="Times New Roman"/>
          <w:b/>
          <w:szCs w:val="24"/>
        </w:rPr>
        <w:t>12</w:t>
      </w:r>
      <w:r w:rsidRPr="009B4F50">
        <w:rPr>
          <w:rFonts w:ascii="Times New Roman" w:hAnsi="Times New Roman" w:cs="Times New Roman"/>
          <w:b/>
          <w:szCs w:val="24"/>
        </w:rPr>
        <w:t>個月獲安置的申請者，但不計算所有在輪候冊上未獲安置的申請人。</w:t>
      </w:r>
      <w:r w:rsidR="001C620D" w:rsidRPr="009B4F50">
        <w:rPr>
          <w:rFonts w:ascii="Times New Roman" w:hAnsi="Times New Roman" w:cs="Times New Roman"/>
          <w:szCs w:val="24"/>
        </w:rPr>
        <w:t>以</w:t>
      </w:r>
      <w:r w:rsidR="001C620D" w:rsidRPr="009B4F50">
        <w:rPr>
          <w:rFonts w:ascii="Times New Roman" w:hAnsi="Times New Roman" w:cs="Times New Roman"/>
          <w:szCs w:val="24"/>
        </w:rPr>
        <w:t>2014</w:t>
      </w:r>
      <w:r w:rsidR="001C620D" w:rsidRPr="009B4F50">
        <w:rPr>
          <w:rFonts w:ascii="Times New Roman" w:hAnsi="Times New Roman" w:cs="Times New Roman"/>
          <w:szCs w:val="24"/>
        </w:rPr>
        <w:t>年</w:t>
      </w:r>
      <w:r w:rsidR="001C620D" w:rsidRPr="009B4F50">
        <w:rPr>
          <w:rFonts w:ascii="Times New Roman" w:hAnsi="Times New Roman" w:cs="Times New Roman"/>
          <w:szCs w:val="24"/>
        </w:rPr>
        <w:t>6</w:t>
      </w:r>
      <w:r w:rsidR="001C620D" w:rsidRPr="009B4F50">
        <w:rPr>
          <w:rFonts w:ascii="Times New Roman" w:hAnsi="Times New Roman" w:cs="Times New Roman"/>
          <w:szCs w:val="24"/>
        </w:rPr>
        <w:t>月底數字為例，輪候公屋時間為三年以上而未獲配屋的一般申請者有</w:t>
      </w:r>
      <w:r w:rsidR="001C620D" w:rsidRPr="009B4F50">
        <w:rPr>
          <w:rFonts w:ascii="Times New Roman" w:hAnsi="Times New Roman" w:cs="Times New Roman"/>
          <w:szCs w:val="24"/>
        </w:rPr>
        <w:t>28</w:t>
      </w:r>
      <w:proofErr w:type="gramStart"/>
      <w:r w:rsidR="001C620D" w:rsidRPr="009B4F50">
        <w:rPr>
          <w:rFonts w:ascii="Times New Roman" w:hAnsi="Times New Roman" w:cs="Times New Roman"/>
          <w:szCs w:val="24"/>
        </w:rPr>
        <w:t>,300</w:t>
      </w:r>
      <w:r w:rsidR="001C620D" w:rsidRPr="009B4F50">
        <w:rPr>
          <w:rFonts w:ascii="Times New Roman" w:hAnsi="Times New Roman" w:cs="Times New Roman"/>
          <w:szCs w:val="24"/>
        </w:rPr>
        <w:t>宗</w:t>
      </w:r>
      <w:proofErr w:type="gramEnd"/>
      <w:r w:rsidR="001C620D" w:rsidRPr="009B4F50">
        <w:rPr>
          <w:rFonts w:ascii="Times New Roman" w:hAnsi="Times New Roman" w:cs="Times New Roman"/>
          <w:szCs w:val="24"/>
        </w:rPr>
        <w:t>，佔當時一般申請者總數的</w:t>
      </w:r>
      <w:r w:rsidR="001C620D" w:rsidRPr="009B4F50">
        <w:rPr>
          <w:rFonts w:ascii="Times New Roman" w:hAnsi="Times New Roman" w:cs="Times New Roman"/>
          <w:szCs w:val="24"/>
        </w:rPr>
        <w:t>23%</w:t>
      </w:r>
      <w:r w:rsidR="001C620D" w:rsidRPr="009B4F50">
        <w:rPr>
          <w:rFonts w:ascii="Times New Roman" w:hAnsi="Times New Roman" w:cs="Times New Roman"/>
          <w:szCs w:val="24"/>
        </w:rPr>
        <w:t>，其中更有</w:t>
      </w:r>
      <w:r w:rsidR="001C620D" w:rsidRPr="009B4F50">
        <w:rPr>
          <w:rFonts w:ascii="Times New Roman" w:hAnsi="Times New Roman" w:cs="Times New Roman"/>
          <w:szCs w:val="24"/>
        </w:rPr>
        <w:t>4,600</w:t>
      </w:r>
      <w:r w:rsidR="001C620D" w:rsidRPr="009B4F50">
        <w:rPr>
          <w:rFonts w:ascii="Times New Roman" w:hAnsi="Times New Roman" w:cs="Times New Roman"/>
          <w:szCs w:val="24"/>
        </w:rPr>
        <w:t>宗輪候五年以上仍未獲配屋，但以上個案因為過去</w:t>
      </w:r>
      <w:r w:rsidR="001C620D" w:rsidRPr="009B4F50">
        <w:rPr>
          <w:rFonts w:ascii="Times New Roman" w:hAnsi="Times New Roman" w:cs="Times New Roman"/>
          <w:szCs w:val="24"/>
        </w:rPr>
        <w:t>12</w:t>
      </w:r>
      <w:r w:rsidR="001C620D" w:rsidRPr="009B4F50">
        <w:rPr>
          <w:rFonts w:ascii="Times New Roman" w:hAnsi="Times New Roman" w:cs="Times New Roman"/>
          <w:szCs w:val="24"/>
        </w:rPr>
        <w:t>個月從未獲安置，因而未有計算在平均輪候時間之內，</w:t>
      </w:r>
      <w:r w:rsidR="001C620D" w:rsidRPr="009B4F50">
        <w:rPr>
          <w:rFonts w:ascii="Times New Roman" w:hAnsi="Times New Roman" w:cs="Times New Roman"/>
          <w:b/>
          <w:szCs w:val="24"/>
        </w:rPr>
        <w:t>以致真實輪候時間</w:t>
      </w:r>
      <w:r w:rsidR="00BB45D1" w:rsidRPr="009B4F50">
        <w:rPr>
          <w:rFonts w:ascii="Times New Roman" w:hAnsi="Times New Roman" w:cs="Times New Roman"/>
          <w:b/>
          <w:szCs w:val="24"/>
        </w:rPr>
        <w:t>被嚴重低估，未來情況預計進一步延長。</w:t>
      </w:r>
    </w:p>
    <w:p w:rsidR="00E674E6" w:rsidRPr="009B4F50" w:rsidRDefault="00E674E6" w:rsidP="0040046D">
      <w:pPr>
        <w:jc w:val="both"/>
        <w:rPr>
          <w:rFonts w:ascii="Times New Roman" w:hAnsi="Times New Roman" w:cs="Times New Roman"/>
          <w:szCs w:val="24"/>
        </w:rPr>
      </w:pPr>
    </w:p>
    <w:p w:rsidR="00F717E3" w:rsidRPr="009B4F50" w:rsidRDefault="004753BC" w:rsidP="004753BC">
      <w:pPr>
        <w:pStyle w:val="10"/>
        <w:widowControl w:val="0"/>
        <w:numPr>
          <w:ilvl w:val="0"/>
          <w:numId w:val="13"/>
        </w:numPr>
        <w:spacing w:line="120" w:lineRule="atLeast"/>
        <w:jc w:val="both"/>
        <w:rPr>
          <w:b/>
          <w:szCs w:val="24"/>
          <w:u w:val="single"/>
        </w:rPr>
      </w:pPr>
      <w:r w:rsidRPr="009B4F50">
        <w:rPr>
          <w:b/>
          <w:szCs w:val="24"/>
          <w:u w:val="single"/>
        </w:rPr>
        <w:t>四</w:t>
      </w:r>
      <w:r w:rsidR="00F717E3" w:rsidRPr="009B4F50">
        <w:rPr>
          <w:b/>
          <w:szCs w:val="24"/>
          <w:u w:val="single"/>
        </w:rPr>
        <w:t>人</w:t>
      </w:r>
      <w:r w:rsidR="00AE613A" w:rsidRPr="009B4F50">
        <w:rPr>
          <w:b/>
          <w:szCs w:val="24"/>
          <w:u w:val="single"/>
        </w:rPr>
        <w:t>或以上</w:t>
      </w:r>
      <w:r w:rsidR="00F717E3" w:rsidRPr="009B4F50">
        <w:rPr>
          <w:b/>
          <w:szCs w:val="24"/>
          <w:u w:val="single"/>
        </w:rPr>
        <w:t>家庭</w:t>
      </w:r>
      <w:r w:rsidR="00016B1A" w:rsidRPr="009B4F50">
        <w:rPr>
          <w:b/>
          <w:szCs w:val="24"/>
          <w:u w:val="single"/>
        </w:rPr>
        <w:t>輪候情況</w:t>
      </w:r>
      <w:r w:rsidR="00A2093A" w:rsidRPr="009B4F50">
        <w:rPr>
          <w:b/>
          <w:szCs w:val="24"/>
          <w:u w:val="single"/>
        </w:rPr>
        <w:t>被</w:t>
      </w:r>
      <w:r w:rsidR="00F717E3" w:rsidRPr="009B4F50">
        <w:rPr>
          <w:b/>
          <w:szCs w:val="24"/>
          <w:u w:val="single"/>
        </w:rPr>
        <w:t>受忽視</w:t>
      </w:r>
    </w:p>
    <w:p w:rsidR="00F717E3" w:rsidRDefault="00F717E3" w:rsidP="00BB45D1">
      <w:pPr>
        <w:pStyle w:val="10"/>
        <w:spacing w:line="120" w:lineRule="atLeast"/>
        <w:ind w:left="0"/>
        <w:jc w:val="both"/>
        <w:rPr>
          <w:szCs w:val="24"/>
        </w:rPr>
      </w:pPr>
      <w:r w:rsidRPr="009B4F50">
        <w:rPr>
          <w:b/>
          <w:szCs w:val="24"/>
        </w:rPr>
        <w:t xml:space="preserve">   </w:t>
      </w:r>
      <w:r w:rsidRPr="009B4F50">
        <w:rPr>
          <w:szCs w:val="24"/>
        </w:rPr>
        <w:t xml:space="preserve"> </w:t>
      </w:r>
      <w:r w:rsidRPr="009B4F50">
        <w:rPr>
          <w:szCs w:val="24"/>
        </w:rPr>
        <w:t>截止</w:t>
      </w:r>
      <w:r w:rsidR="001C620D" w:rsidRPr="009B4F50">
        <w:rPr>
          <w:szCs w:val="24"/>
        </w:rPr>
        <w:t>2014</w:t>
      </w:r>
      <w:r w:rsidRPr="009B4F50">
        <w:rPr>
          <w:szCs w:val="24"/>
        </w:rPr>
        <w:t>年</w:t>
      </w:r>
      <w:r w:rsidR="00AE613A" w:rsidRPr="009B4F50">
        <w:rPr>
          <w:szCs w:val="24"/>
        </w:rPr>
        <w:t>3</w:t>
      </w:r>
      <w:r w:rsidRPr="009B4F50">
        <w:rPr>
          <w:szCs w:val="24"/>
        </w:rPr>
        <w:t>月底，輪候冊上</w:t>
      </w:r>
      <w:r w:rsidRPr="009B4F50">
        <w:rPr>
          <w:szCs w:val="24"/>
        </w:rPr>
        <w:t>4</w:t>
      </w:r>
      <w:r w:rsidRPr="009B4F50">
        <w:rPr>
          <w:szCs w:val="24"/>
        </w:rPr>
        <w:t>人</w:t>
      </w:r>
      <w:r w:rsidR="00AE613A" w:rsidRPr="009B4F50">
        <w:rPr>
          <w:szCs w:val="24"/>
        </w:rPr>
        <w:t>或以上</w:t>
      </w:r>
      <w:r w:rsidRPr="009B4F50">
        <w:rPr>
          <w:szCs w:val="24"/>
        </w:rPr>
        <w:t>家庭有</w:t>
      </w:r>
      <w:r w:rsidR="00AE613A" w:rsidRPr="009B4F50">
        <w:rPr>
          <w:szCs w:val="24"/>
        </w:rPr>
        <w:t>31,3</w:t>
      </w:r>
      <w:r w:rsidRPr="009B4F50">
        <w:rPr>
          <w:szCs w:val="24"/>
        </w:rPr>
        <w:t>00</w:t>
      </w:r>
      <w:r w:rsidRPr="009B4F50">
        <w:rPr>
          <w:szCs w:val="24"/>
        </w:rPr>
        <w:t>戶，</w:t>
      </w:r>
      <w:r w:rsidRPr="009B4F50">
        <w:rPr>
          <w:b/>
          <w:szCs w:val="24"/>
        </w:rPr>
        <w:t>但在</w:t>
      </w:r>
      <w:r w:rsidRPr="009B4F50">
        <w:rPr>
          <w:b/>
          <w:szCs w:val="24"/>
        </w:rPr>
        <w:t>201</w:t>
      </w:r>
      <w:r w:rsidR="00AE613A" w:rsidRPr="009B4F50">
        <w:rPr>
          <w:b/>
          <w:szCs w:val="24"/>
        </w:rPr>
        <w:t>3</w:t>
      </w:r>
      <w:r w:rsidRPr="009B4F50">
        <w:rPr>
          <w:b/>
          <w:szCs w:val="24"/>
        </w:rPr>
        <w:t>年</w:t>
      </w:r>
      <w:r w:rsidRPr="009B4F50">
        <w:rPr>
          <w:b/>
          <w:szCs w:val="24"/>
        </w:rPr>
        <w:t>7</w:t>
      </w:r>
      <w:r w:rsidRPr="009B4F50">
        <w:rPr>
          <w:b/>
          <w:szCs w:val="24"/>
        </w:rPr>
        <w:t>月至</w:t>
      </w:r>
      <w:r w:rsidRPr="009B4F50">
        <w:rPr>
          <w:b/>
          <w:szCs w:val="24"/>
        </w:rPr>
        <w:t>201</w:t>
      </w:r>
      <w:r w:rsidR="00AE613A" w:rsidRPr="009B4F50">
        <w:rPr>
          <w:b/>
          <w:szCs w:val="24"/>
        </w:rPr>
        <w:t>4</w:t>
      </w:r>
      <w:r w:rsidRPr="009B4F50">
        <w:rPr>
          <w:b/>
          <w:szCs w:val="24"/>
        </w:rPr>
        <w:t>年</w:t>
      </w:r>
      <w:r w:rsidRPr="009B4F50">
        <w:rPr>
          <w:b/>
          <w:szCs w:val="24"/>
        </w:rPr>
        <w:t>6</w:t>
      </w:r>
      <w:r w:rsidRPr="009B4F50">
        <w:rPr>
          <w:b/>
          <w:szCs w:val="24"/>
        </w:rPr>
        <w:t>月期間獲安置的</w:t>
      </w:r>
      <w:r w:rsidRPr="009B4F50">
        <w:rPr>
          <w:b/>
          <w:szCs w:val="24"/>
        </w:rPr>
        <w:t>4</w:t>
      </w:r>
      <w:r w:rsidRPr="009B4F50">
        <w:rPr>
          <w:b/>
          <w:szCs w:val="24"/>
        </w:rPr>
        <w:t>人</w:t>
      </w:r>
      <w:r w:rsidR="00AE613A" w:rsidRPr="009B4F50">
        <w:rPr>
          <w:b/>
          <w:szCs w:val="24"/>
        </w:rPr>
        <w:t>或以上</w:t>
      </w:r>
      <w:r w:rsidR="00BB45D1" w:rsidRPr="009B4F50">
        <w:rPr>
          <w:b/>
          <w:szCs w:val="24"/>
        </w:rPr>
        <w:t>家庭只</w:t>
      </w:r>
      <w:r w:rsidRPr="009B4F50">
        <w:rPr>
          <w:b/>
          <w:szCs w:val="24"/>
        </w:rPr>
        <w:t>有</w:t>
      </w:r>
      <w:r w:rsidR="00AE613A" w:rsidRPr="009B4F50">
        <w:rPr>
          <w:b/>
          <w:szCs w:val="24"/>
        </w:rPr>
        <w:t>2,85</w:t>
      </w:r>
      <w:r w:rsidRPr="009B4F50">
        <w:rPr>
          <w:b/>
          <w:szCs w:val="24"/>
        </w:rPr>
        <w:t>0</w:t>
      </w:r>
      <w:r w:rsidRPr="009B4F50">
        <w:rPr>
          <w:b/>
          <w:szCs w:val="24"/>
        </w:rPr>
        <w:t>個，不足</w:t>
      </w:r>
      <w:r w:rsidR="00AE613A" w:rsidRPr="009B4F50">
        <w:rPr>
          <w:b/>
          <w:szCs w:val="24"/>
        </w:rPr>
        <w:t>有關家庭人數的</w:t>
      </w:r>
      <w:r w:rsidRPr="009B4F50">
        <w:rPr>
          <w:b/>
          <w:szCs w:val="24"/>
        </w:rPr>
        <w:t>一成名額</w:t>
      </w:r>
      <w:r w:rsidR="00AE613A" w:rsidRPr="009B4F50">
        <w:rPr>
          <w:szCs w:val="24"/>
        </w:rPr>
        <w:t>，明顯單位供應分配嚴重不足，難以消化輪候隊伍</w:t>
      </w:r>
      <w:r w:rsidRPr="009B4F50">
        <w:rPr>
          <w:szCs w:val="24"/>
        </w:rPr>
        <w:t>。房委會文件亦顯示，截至</w:t>
      </w:r>
      <w:r w:rsidR="00AE613A" w:rsidRPr="009B4F50">
        <w:rPr>
          <w:szCs w:val="24"/>
        </w:rPr>
        <w:t>2014</w:t>
      </w:r>
      <w:r w:rsidRPr="009B4F50">
        <w:rPr>
          <w:szCs w:val="24"/>
        </w:rPr>
        <w:t>年</w:t>
      </w:r>
      <w:r w:rsidRPr="009B4F50">
        <w:rPr>
          <w:szCs w:val="24"/>
        </w:rPr>
        <w:t>6</w:t>
      </w:r>
      <w:r w:rsidRPr="009B4F50">
        <w:rPr>
          <w:szCs w:val="24"/>
        </w:rPr>
        <w:t>月底，</w:t>
      </w:r>
      <w:r w:rsidRPr="009B4F50">
        <w:rPr>
          <w:b/>
          <w:szCs w:val="24"/>
        </w:rPr>
        <w:t>在輪候冊上輪候</w:t>
      </w:r>
      <w:r w:rsidR="00016B1A" w:rsidRPr="009B4F50">
        <w:rPr>
          <w:b/>
          <w:szCs w:val="24"/>
        </w:rPr>
        <w:t>三</w:t>
      </w:r>
      <w:r w:rsidR="00AE613A" w:rsidRPr="009B4F50">
        <w:rPr>
          <w:b/>
          <w:szCs w:val="24"/>
        </w:rPr>
        <w:t>年</w:t>
      </w:r>
      <w:r w:rsidRPr="009B4F50">
        <w:rPr>
          <w:b/>
          <w:szCs w:val="24"/>
        </w:rPr>
        <w:t>以上而未獲配屋的家庭組合中，亦以</w:t>
      </w:r>
      <w:r w:rsidRPr="009B4F50">
        <w:rPr>
          <w:b/>
          <w:szCs w:val="24"/>
        </w:rPr>
        <w:t>4</w:t>
      </w:r>
      <w:r w:rsidRPr="009B4F50">
        <w:rPr>
          <w:b/>
          <w:szCs w:val="24"/>
        </w:rPr>
        <w:t>人</w:t>
      </w:r>
      <w:r w:rsidR="00AE613A" w:rsidRPr="009B4F50">
        <w:rPr>
          <w:b/>
          <w:szCs w:val="24"/>
        </w:rPr>
        <w:t>或以上</w:t>
      </w:r>
      <w:r w:rsidRPr="009B4F50">
        <w:rPr>
          <w:b/>
          <w:szCs w:val="24"/>
        </w:rPr>
        <w:t>家庭最為嚴重，達到</w:t>
      </w:r>
      <w:r w:rsidR="00AE613A" w:rsidRPr="009B4F50">
        <w:rPr>
          <w:b/>
          <w:szCs w:val="24"/>
        </w:rPr>
        <w:t>13,7</w:t>
      </w:r>
      <w:r w:rsidRPr="009B4F50">
        <w:rPr>
          <w:b/>
          <w:szCs w:val="24"/>
        </w:rPr>
        <w:t>00</w:t>
      </w:r>
      <w:r w:rsidRPr="009B4F50">
        <w:rPr>
          <w:b/>
          <w:szCs w:val="24"/>
        </w:rPr>
        <w:t>宗</w:t>
      </w:r>
      <w:r w:rsidRPr="009B4F50">
        <w:rPr>
          <w:rStyle w:val="FootnoteReference"/>
          <w:b/>
          <w:szCs w:val="24"/>
        </w:rPr>
        <w:footnoteReference w:id="2"/>
      </w:r>
      <w:r w:rsidRPr="009B4F50">
        <w:rPr>
          <w:b/>
          <w:szCs w:val="24"/>
        </w:rPr>
        <w:t>，佔</w:t>
      </w:r>
      <w:r w:rsidR="00016B1A" w:rsidRPr="009B4F50">
        <w:rPr>
          <w:b/>
          <w:szCs w:val="24"/>
        </w:rPr>
        <w:t>有關</w:t>
      </w:r>
      <w:r w:rsidRPr="009B4F50">
        <w:rPr>
          <w:b/>
          <w:szCs w:val="24"/>
        </w:rPr>
        <w:t>數字</w:t>
      </w:r>
      <w:r w:rsidR="004314D0" w:rsidRPr="009B4F50">
        <w:rPr>
          <w:b/>
          <w:szCs w:val="24"/>
        </w:rPr>
        <w:t>接近五成</w:t>
      </w:r>
      <w:r w:rsidR="004314D0" w:rsidRPr="009B4F50">
        <w:rPr>
          <w:szCs w:val="24"/>
        </w:rPr>
        <w:t>，</w:t>
      </w:r>
      <w:r w:rsidRPr="009B4F50">
        <w:rPr>
          <w:szCs w:val="24"/>
        </w:rPr>
        <w:t>與配額不足所產生之結果不謀而合。可見，上樓承諾實際名存實亡，</w:t>
      </w:r>
      <w:r w:rsidRPr="009B4F50">
        <w:rPr>
          <w:szCs w:val="24"/>
        </w:rPr>
        <w:t>4</w:t>
      </w:r>
      <w:r w:rsidRPr="009B4F50">
        <w:rPr>
          <w:szCs w:val="24"/>
        </w:rPr>
        <w:t>人</w:t>
      </w:r>
      <w:r w:rsidR="004314D0" w:rsidRPr="009B4F50">
        <w:rPr>
          <w:szCs w:val="24"/>
        </w:rPr>
        <w:t>或以上</w:t>
      </w:r>
      <w:r w:rsidRPr="009B4F50">
        <w:rPr>
          <w:szCs w:val="24"/>
        </w:rPr>
        <w:t>家庭苦候無期。故現時計算的平均輪候時間未能清晰顯示以家庭為單位的申請人之輪候時間，致使部份家庭組合在現存政策下慘被犧性，而</w:t>
      </w:r>
      <w:r w:rsidRPr="009B4F50">
        <w:rPr>
          <w:szCs w:val="24"/>
        </w:rPr>
        <w:t>4</w:t>
      </w:r>
      <w:r w:rsidRPr="009B4F50">
        <w:rPr>
          <w:szCs w:val="24"/>
        </w:rPr>
        <w:t>人</w:t>
      </w:r>
      <w:r w:rsidR="004314D0" w:rsidRPr="009B4F50">
        <w:rPr>
          <w:szCs w:val="24"/>
        </w:rPr>
        <w:t>或以上</w:t>
      </w:r>
      <w:r w:rsidRPr="009B4F50">
        <w:rPr>
          <w:szCs w:val="24"/>
        </w:rPr>
        <w:t>家庭因而首當其衝，上樓無期。</w:t>
      </w:r>
      <w:r w:rsidR="004314D0" w:rsidRPr="009B4F50">
        <w:rPr>
          <w:szCs w:val="24"/>
        </w:rPr>
        <w:t>這反映</w:t>
      </w:r>
      <w:r w:rsidRPr="009B4F50">
        <w:rPr>
          <w:szCs w:val="24"/>
        </w:rPr>
        <w:t>在整個房屋規劃上，明顯亦未有充分考慮</w:t>
      </w:r>
      <w:r w:rsidR="004314D0" w:rsidRPr="009B4F50">
        <w:rPr>
          <w:szCs w:val="24"/>
        </w:rPr>
        <w:t>各</w:t>
      </w:r>
      <w:r w:rsidRPr="009B4F50">
        <w:rPr>
          <w:szCs w:val="24"/>
        </w:rPr>
        <w:t>家庭</w:t>
      </w:r>
      <w:r w:rsidR="004314D0" w:rsidRPr="009B4F50">
        <w:rPr>
          <w:szCs w:val="24"/>
        </w:rPr>
        <w:t>大小的住屋需要。</w:t>
      </w:r>
    </w:p>
    <w:p w:rsidR="00E674E6" w:rsidRPr="009B4F50" w:rsidRDefault="00E674E6" w:rsidP="00BB45D1">
      <w:pPr>
        <w:pStyle w:val="10"/>
        <w:spacing w:line="120" w:lineRule="atLeast"/>
        <w:ind w:left="0"/>
        <w:jc w:val="both"/>
        <w:rPr>
          <w:szCs w:val="24"/>
        </w:rPr>
      </w:pPr>
    </w:p>
    <w:p w:rsidR="00F717E3" w:rsidRPr="009B4F50" w:rsidRDefault="00F717E3" w:rsidP="004753BC">
      <w:pPr>
        <w:pStyle w:val="ListParagraph"/>
        <w:numPr>
          <w:ilvl w:val="0"/>
          <w:numId w:val="13"/>
        </w:numPr>
        <w:spacing w:line="240" w:lineRule="atLeast"/>
        <w:ind w:leftChars="0"/>
        <w:jc w:val="both"/>
        <w:rPr>
          <w:rFonts w:ascii="Times New Roman" w:eastAsiaTheme="majorEastAsia" w:hAnsi="Times New Roman" w:cs="Times New Roman"/>
          <w:b/>
          <w:szCs w:val="24"/>
          <w:u w:val="single"/>
        </w:rPr>
      </w:pPr>
      <w:r w:rsidRPr="009B4F50">
        <w:rPr>
          <w:rFonts w:ascii="Times New Roman" w:eastAsiaTheme="majorEastAsia" w:hAnsi="Times New Roman" w:cs="Times New Roman"/>
          <w:b/>
          <w:szCs w:val="24"/>
          <w:u w:val="single"/>
        </w:rPr>
        <w:t>配額計分上樓夢碎</w:t>
      </w:r>
    </w:p>
    <w:p w:rsidR="00F5166F" w:rsidRPr="009B4F50" w:rsidRDefault="00BA0B1F" w:rsidP="00F5166F">
      <w:pPr>
        <w:spacing w:line="240" w:lineRule="atLeast"/>
        <w:ind w:left="360"/>
        <w:jc w:val="both"/>
        <w:rPr>
          <w:rFonts w:ascii="Times New Roman" w:eastAsiaTheme="majorEastAsia" w:hAnsi="Times New Roman" w:cs="Times New Roman"/>
          <w:szCs w:val="24"/>
        </w:rPr>
      </w:pPr>
      <w:r w:rsidRPr="009B4F50">
        <w:rPr>
          <w:rFonts w:ascii="Times New Roman" w:eastAsiaTheme="majorEastAsia" w:hAnsi="Times New Roman" w:cs="Times New Roman"/>
          <w:szCs w:val="24"/>
        </w:rPr>
        <w:t xml:space="preserve"> </w:t>
      </w:r>
      <w:r w:rsidR="00F5166F" w:rsidRPr="009B4F50">
        <w:rPr>
          <w:rFonts w:ascii="Times New Roman" w:eastAsiaTheme="majorEastAsia" w:hAnsi="Times New Roman" w:cs="Times New Roman"/>
          <w:szCs w:val="24"/>
        </w:rPr>
        <w:t>以上提及的平均輪候時間，並不包括超過十四萬宗非長者一人申請。事實上，</w:t>
      </w:r>
    </w:p>
    <w:p w:rsidR="00F717E3" w:rsidRPr="009B4F50" w:rsidRDefault="00F5166F" w:rsidP="00BB45D1">
      <w:pPr>
        <w:spacing w:line="240" w:lineRule="atLeast"/>
        <w:jc w:val="both"/>
        <w:rPr>
          <w:rFonts w:ascii="Times New Roman" w:eastAsiaTheme="majorEastAsia" w:hAnsi="Times New Roman" w:cs="Times New Roman"/>
          <w:b/>
          <w:szCs w:val="24"/>
        </w:rPr>
      </w:pPr>
      <w:r w:rsidRPr="009B4F50">
        <w:rPr>
          <w:rFonts w:ascii="Times New Roman" w:eastAsiaTheme="majorEastAsia" w:hAnsi="Times New Roman" w:cs="Times New Roman"/>
          <w:szCs w:val="24"/>
        </w:rPr>
        <w:t>非長者單身申請輪候</w:t>
      </w:r>
      <w:r w:rsidR="00F717E3" w:rsidRPr="009B4F50">
        <w:rPr>
          <w:rFonts w:ascii="Times New Roman" w:eastAsiaTheme="majorEastAsia" w:hAnsi="Times New Roman" w:cs="Times New Roman"/>
          <w:szCs w:val="24"/>
        </w:rPr>
        <w:t>情</w:t>
      </w:r>
      <w:r w:rsidRPr="009B4F50">
        <w:rPr>
          <w:rFonts w:ascii="Times New Roman" w:eastAsiaTheme="majorEastAsia" w:hAnsi="Times New Roman" w:cs="Times New Roman"/>
          <w:szCs w:val="24"/>
        </w:rPr>
        <w:t>況更</w:t>
      </w:r>
      <w:r w:rsidR="00F717E3" w:rsidRPr="009B4F50">
        <w:rPr>
          <w:rFonts w:ascii="Times New Roman" w:eastAsiaTheme="majorEastAsia" w:hAnsi="Times New Roman" w:cs="Times New Roman"/>
          <w:szCs w:val="24"/>
        </w:rPr>
        <w:t>為嚴峻。在</w:t>
      </w:r>
      <w:r w:rsidR="00F717E3" w:rsidRPr="009B4F50">
        <w:rPr>
          <w:rFonts w:ascii="Times New Roman" w:eastAsiaTheme="majorEastAsia" w:hAnsi="Times New Roman" w:cs="Times New Roman"/>
          <w:szCs w:val="24"/>
        </w:rPr>
        <w:t>2005</w:t>
      </w:r>
      <w:r w:rsidRPr="009B4F50">
        <w:rPr>
          <w:rFonts w:ascii="Times New Roman" w:eastAsiaTheme="majorEastAsia" w:hAnsi="Times New Roman" w:cs="Times New Roman"/>
          <w:szCs w:val="24"/>
        </w:rPr>
        <w:t>年，房委會考慮到非長者一人申請住屋需求日增</w:t>
      </w:r>
      <w:r w:rsidR="00F717E3" w:rsidRPr="009B4F50">
        <w:rPr>
          <w:rFonts w:ascii="Times New Roman" w:eastAsiaTheme="majorEastAsia" w:hAnsi="Times New Roman" w:cs="Times New Roman"/>
          <w:szCs w:val="24"/>
        </w:rPr>
        <w:t>，</w:t>
      </w:r>
      <w:r w:rsidR="00F717E3" w:rsidRPr="009B4F50">
        <w:rPr>
          <w:rFonts w:ascii="Times New Roman" w:eastAsiaTheme="majorEastAsia" w:hAnsi="Times New Roman" w:cs="Times New Roman"/>
          <w:b/>
          <w:szCs w:val="24"/>
        </w:rPr>
        <w:t>引入配額及計分制，將配額上限設定在最多每年</w:t>
      </w:r>
      <w:r w:rsidR="00F717E3" w:rsidRPr="009B4F50">
        <w:rPr>
          <w:rFonts w:ascii="Times New Roman" w:eastAsiaTheme="majorEastAsia" w:hAnsi="Times New Roman" w:cs="Times New Roman"/>
          <w:b/>
          <w:szCs w:val="24"/>
        </w:rPr>
        <w:t>2</w:t>
      </w:r>
      <w:proofErr w:type="gramStart"/>
      <w:r w:rsidR="00F717E3" w:rsidRPr="009B4F50">
        <w:rPr>
          <w:rFonts w:ascii="Times New Roman" w:eastAsiaTheme="majorEastAsia" w:hAnsi="Times New Roman" w:cs="Times New Roman"/>
          <w:b/>
          <w:szCs w:val="24"/>
        </w:rPr>
        <w:t>,000</w:t>
      </w:r>
      <w:r w:rsidR="00F717E3" w:rsidRPr="009B4F50">
        <w:rPr>
          <w:rFonts w:ascii="Times New Roman" w:eastAsiaTheme="majorEastAsia" w:hAnsi="Times New Roman" w:cs="Times New Roman"/>
          <w:b/>
          <w:szCs w:val="24"/>
        </w:rPr>
        <w:t>個</w:t>
      </w:r>
      <w:proofErr w:type="gramEnd"/>
      <w:r w:rsidR="00F717E3" w:rsidRPr="009B4F50">
        <w:rPr>
          <w:rFonts w:ascii="Times New Roman" w:eastAsiaTheme="majorEastAsia" w:hAnsi="Times New Roman" w:cs="Times New Roman"/>
          <w:b/>
          <w:szCs w:val="24"/>
        </w:rPr>
        <w:t>，同時設立按申請人年齡等因素而釐定的「計分制」，並將非長者一人申請者剔除在公屋的平均輪候時間之外</w:t>
      </w:r>
      <w:r w:rsidR="00BA0B1F" w:rsidRPr="009B4F50">
        <w:rPr>
          <w:rFonts w:ascii="Times New Roman" w:eastAsiaTheme="majorEastAsia" w:hAnsi="Times New Roman" w:cs="Times New Roman"/>
          <w:szCs w:val="24"/>
        </w:rPr>
        <w:t>。此制度實施後，非長者單身</w:t>
      </w:r>
      <w:r w:rsidR="00F717E3" w:rsidRPr="009B4F50">
        <w:rPr>
          <w:rFonts w:ascii="Times New Roman" w:eastAsiaTheme="majorEastAsia" w:hAnsi="Times New Roman" w:cs="Times New Roman"/>
          <w:szCs w:val="24"/>
        </w:rPr>
        <w:t>在配額及計分這雙重關卡下，輪候公屋動輒十年八載。原以為政府重設長遠房屋策略督導委員會，建議｢優化｣配額及計分制，包括增加每年配額，以及向年逾</w:t>
      </w:r>
      <w:r w:rsidR="00F717E3" w:rsidRPr="009B4F50">
        <w:rPr>
          <w:rFonts w:ascii="Times New Roman" w:eastAsiaTheme="majorEastAsia" w:hAnsi="Times New Roman" w:cs="Times New Roman"/>
          <w:szCs w:val="24"/>
        </w:rPr>
        <w:t>45</w:t>
      </w:r>
      <w:r w:rsidR="00F717E3" w:rsidRPr="009B4F50">
        <w:rPr>
          <w:rFonts w:ascii="Times New Roman" w:eastAsiaTheme="majorEastAsia" w:hAnsi="Times New Roman" w:cs="Times New Roman"/>
          <w:szCs w:val="24"/>
        </w:rPr>
        <w:t>歲的申請者提供額外分數，並逐步擴展至</w:t>
      </w:r>
      <w:r w:rsidR="00F717E3" w:rsidRPr="009B4F50">
        <w:rPr>
          <w:rFonts w:ascii="Times New Roman" w:eastAsiaTheme="majorEastAsia" w:hAnsi="Times New Roman" w:cs="Times New Roman"/>
          <w:szCs w:val="24"/>
        </w:rPr>
        <w:t>35</w:t>
      </w:r>
      <w:r w:rsidR="00F717E3" w:rsidRPr="009B4F50">
        <w:rPr>
          <w:rFonts w:ascii="Times New Roman" w:eastAsiaTheme="majorEastAsia" w:hAnsi="Times New Roman" w:cs="Times New Roman"/>
          <w:szCs w:val="24"/>
        </w:rPr>
        <w:t>歲以上的非長者單身人士等，可為這群非長者的單身申請人帶來喜訊，豈料最後竟然｢貨不對版｣。在</w:t>
      </w:r>
      <w:r w:rsidR="00F717E3" w:rsidRPr="009B4F50">
        <w:rPr>
          <w:rFonts w:ascii="Times New Roman" w:eastAsiaTheme="majorEastAsia" w:hAnsi="Times New Roman" w:cs="Times New Roman"/>
          <w:szCs w:val="24"/>
        </w:rPr>
        <w:t>2014</w:t>
      </w:r>
      <w:r w:rsidR="00F717E3" w:rsidRPr="009B4F50">
        <w:rPr>
          <w:rFonts w:ascii="Times New Roman" w:eastAsiaTheme="majorEastAsia" w:hAnsi="Times New Roman" w:cs="Times New Roman"/>
          <w:szCs w:val="24"/>
        </w:rPr>
        <w:t>年</w:t>
      </w:r>
      <w:r w:rsidR="00F717E3" w:rsidRPr="009B4F50">
        <w:rPr>
          <w:rFonts w:ascii="Times New Roman" w:eastAsiaTheme="majorEastAsia" w:hAnsi="Times New Roman" w:cs="Times New Roman"/>
          <w:szCs w:val="24"/>
        </w:rPr>
        <w:t>10</w:t>
      </w:r>
      <w:r w:rsidR="00F717E3" w:rsidRPr="009B4F50">
        <w:rPr>
          <w:rFonts w:ascii="Times New Roman" w:eastAsiaTheme="majorEastAsia" w:hAnsi="Times New Roman" w:cs="Times New Roman"/>
          <w:szCs w:val="24"/>
        </w:rPr>
        <w:t>月，</w:t>
      </w:r>
      <w:r w:rsidRPr="009B4F50">
        <w:rPr>
          <w:rFonts w:ascii="Times New Roman" w:eastAsiaTheme="majorEastAsia" w:hAnsi="Times New Roman" w:cs="Times New Roman"/>
          <w:szCs w:val="24"/>
        </w:rPr>
        <w:t>房委會修訂配額及計分制</w:t>
      </w:r>
      <w:r w:rsidRPr="009B4F50">
        <w:rPr>
          <w:rFonts w:ascii="Times New Roman" w:eastAsiaTheme="majorEastAsia" w:hAnsi="Times New Roman" w:cs="Times New Roman"/>
          <w:b/>
          <w:szCs w:val="24"/>
        </w:rPr>
        <w:t>，</w:t>
      </w:r>
      <w:r w:rsidR="00F717E3" w:rsidRPr="009B4F50">
        <w:rPr>
          <w:rFonts w:ascii="Times New Roman" w:eastAsiaTheme="majorEastAsia" w:hAnsi="Times New Roman" w:cs="Times New Roman"/>
          <w:szCs w:val="24"/>
        </w:rPr>
        <w:t>只輕微將每年配額上限由</w:t>
      </w:r>
      <w:r w:rsidR="00F717E3" w:rsidRPr="009B4F50">
        <w:rPr>
          <w:rFonts w:ascii="Times New Roman" w:eastAsiaTheme="majorEastAsia" w:hAnsi="Times New Roman" w:cs="Times New Roman"/>
          <w:szCs w:val="24"/>
        </w:rPr>
        <w:t>2</w:t>
      </w:r>
      <w:proofErr w:type="gramStart"/>
      <w:r w:rsidR="00F717E3" w:rsidRPr="009B4F50">
        <w:rPr>
          <w:rFonts w:ascii="Times New Roman" w:eastAsiaTheme="majorEastAsia" w:hAnsi="Times New Roman" w:cs="Times New Roman"/>
          <w:szCs w:val="24"/>
        </w:rPr>
        <w:t>,000</w:t>
      </w:r>
      <w:r w:rsidR="00F717E3" w:rsidRPr="009B4F50">
        <w:rPr>
          <w:rFonts w:ascii="Times New Roman" w:eastAsiaTheme="majorEastAsia" w:hAnsi="Times New Roman" w:cs="Times New Roman"/>
          <w:szCs w:val="24"/>
        </w:rPr>
        <w:t>增至</w:t>
      </w:r>
      <w:r w:rsidR="00F717E3" w:rsidRPr="009B4F50">
        <w:rPr>
          <w:rFonts w:ascii="Times New Roman" w:eastAsiaTheme="majorEastAsia" w:hAnsi="Times New Roman" w:cs="Times New Roman"/>
          <w:szCs w:val="24"/>
        </w:rPr>
        <w:t>2,200</w:t>
      </w:r>
      <w:r w:rsidR="00F717E3" w:rsidRPr="009B4F50">
        <w:rPr>
          <w:rFonts w:ascii="Times New Roman" w:eastAsiaTheme="majorEastAsia" w:hAnsi="Times New Roman" w:cs="Times New Roman"/>
          <w:szCs w:val="24"/>
        </w:rPr>
        <w:t>個</w:t>
      </w:r>
      <w:proofErr w:type="gramEnd"/>
      <w:r w:rsidR="00F717E3" w:rsidRPr="009B4F50">
        <w:rPr>
          <w:rFonts w:ascii="Times New Roman" w:eastAsiaTheme="majorEastAsia" w:hAnsi="Times New Roman" w:cs="Times New Roman"/>
          <w:szCs w:val="24"/>
        </w:rPr>
        <w:t>，</w:t>
      </w:r>
      <w:r w:rsidRPr="009B4F50">
        <w:rPr>
          <w:rFonts w:ascii="Times New Roman" w:eastAsiaTheme="majorEastAsia" w:hAnsi="Times New Roman" w:cs="Times New Roman"/>
          <w:szCs w:val="24"/>
        </w:rPr>
        <w:t>但同時</w:t>
      </w:r>
      <w:r w:rsidR="00F717E3" w:rsidRPr="009B4F50">
        <w:rPr>
          <w:rFonts w:ascii="Times New Roman" w:eastAsiaTheme="majorEastAsia" w:hAnsi="Times New Roman" w:cs="Times New Roman"/>
          <w:szCs w:val="24"/>
        </w:rPr>
        <w:t>將原有計分制度中單一以年齡與住屋需要掛勾的問題深化，</w:t>
      </w:r>
      <w:r w:rsidR="00F717E3" w:rsidRPr="009B4F50">
        <w:rPr>
          <w:rFonts w:ascii="Times New Roman" w:eastAsiaTheme="majorEastAsia" w:hAnsi="Times New Roman" w:cs="Times New Roman"/>
          <w:b/>
          <w:szCs w:val="24"/>
        </w:rPr>
        <w:t>由昔日申請時年齡每增一歲加</w:t>
      </w:r>
      <w:r w:rsidR="00F717E3" w:rsidRPr="009B4F50">
        <w:rPr>
          <w:rFonts w:ascii="Times New Roman" w:eastAsiaTheme="majorEastAsia" w:hAnsi="Times New Roman" w:cs="Times New Roman"/>
          <w:b/>
          <w:szCs w:val="24"/>
        </w:rPr>
        <w:t>3</w:t>
      </w:r>
      <w:r w:rsidR="00F717E3" w:rsidRPr="009B4F50">
        <w:rPr>
          <w:rFonts w:ascii="Times New Roman" w:eastAsiaTheme="majorEastAsia" w:hAnsi="Times New Roman" w:cs="Times New Roman"/>
          <w:b/>
          <w:szCs w:val="24"/>
        </w:rPr>
        <w:t>分上調至每增一歲加</w:t>
      </w:r>
      <w:r w:rsidR="00F717E3" w:rsidRPr="009B4F50">
        <w:rPr>
          <w:rFonts w:ascii="Times New Roman" w:eastAsiaTheme="majorEastAsia" w:hAnsi="Times New Roman" w:cs="Times New Roman"/>
          <w:b/>
          <w:szCs w:val="24"/>
        </w:rPr>
        <w:t>9</w:t>
      </w:r>
      <w:r w:rsidR="00F717E3" w:rsidRPr="009B4F50">
        <w:rPr>
          <w:rFonts w:ascii="Times New Roman" w:eastAsiaTheme="majorEastAsia" w:hAnsi="Times New Roman" w:cs="Times New Roman"/>
          <w:b/>
          <w:szCs w:val="24"/>
        </w:rPr>
        <w:t>分、亦會向年屆</w:t>
      </w:r>
      <w:r w:rsidR="00F717E3" w:rsidRPr="009B4F50">
        <w:rPr>
          <w:rFonts w:ascii="Times New Roman" w:eastAsiaTheme="majorEastAsia" w:hAnsi="Times New Roman" w:cs="Times New Roman"/>
          <w:b/>
          <w:szCs w:val="24"/>
        </w:rPr>
        <w:t>45</w:t>
      </w:r>
      <w:r w:rsidR="00F717E3" w:rsidRPr="009B4F50">
        <w:rPr>
          <w:rFonts w:ascii="Times New Roman" w:eastAsiaTheme="majorEastAsia" w:hAnsi="Times New Roman" w:cs="Times New Roman"/>
          <w:b/>
          <w:szCs w:val="24"/>
        </w:rPr>
        <w:t>歲申請人一次性加</w:t>
      </w:r>
      <w:r w:rsidR="00F717E3" w:rsidRPr="009B4F50">
        <w:rPr>
          <w:rFonts w:ascii="Times New Roman" w:eastAsiaTheme="majorEastAsia" w:hAnsi="Times New Roman" w:cs="Times New Roman"/>
          <w:b/>
          <w:szCs w:val="24"/>
        </w:rPr>
        <w:t>60</w:t>
      </w:r>
      <w:r w:rsidR="00F717E3" w:rsidRPr="009B4F50">
        <w:rPr>
          <w:rFonts w:ascii="Times New Roman" w:eastAsiaTheme="majorEastAsia" w:hAnsi="Times New Roman" w:cs="Times New Roman"/>
          <w:b/>
          <w:szCs w:val="24"/>
        </w:rPr>
        <w:t>分。</w:t>
      </w:r>
      <w:r w:rsidR="00BA0B1F" w:rsidRPr="009B4F50">
        <w:rPr>
          <w:rFonts w:ascii="Times New Roman" w:eastAsiaTheme="majorEastAsia" w:hAnsi="Times New Roman" w:cs="Times New Roman"/>
          <w:szCs w:val="24"/>
        </w:rPr>
        <w:t>結果，</w:t>
      </w:r>
      <w:r w:rsidR="00F717E3" w:rsidRPr="009B4F50">
        <w:rPr>
          <w:rFonts w:ascii="Times New Roman" w:eastAsiaTheme="majorEastAsia" w:hAnsi="Times New Roman" w:cs="Times New Roman"/>
          <w:szCs w:val="24"/>
        </w:rPr>
        <w:t>低於某一個年齡層</w:t>
      </w:r>
      <w:r w:rsidR="00F717E3" w:rsidRPr="009B4F50">
        <w:rPr>
          <w:rFonts w:ascii="Times New Roman" w:eastAsiaTheme="majorEastAsia" w:hAnsi="Times New Roman" w:cs="Times New Roman"/>
          <w:szCs w:val="24"/>
        </w:rPr>
        <w:t>(50</w:t>
      </w:r>
      <w:r w:rsidR="00F717E3" w:rsidRPr="009B4F50">
        <w:rPr>
          <w:rFonts w:ascii="Times New Roman" w:eastAsiaTheme="majorEastAsia" w:hAnsi="Times New Roman" w:cs="Times New Roman"/>
          <w:szCs w:val="24"/>
        </w:rPr>
        <w:t>歲</w:t>
      </w:r>
      <w:r w:rsidR="00F717E3" w:rsidRPr="009B4F50">
        <w:rPr>
          <w:rFonts w:ascii="Times New Roman" w:eastAsiaTheme="majorEastAsia" w:hAnsi="Times New Roman" w:cs="Times New Roman"/>
          <w:szCs w:val="24"/>
        </w:rPr>
        <w:t>)</w:t>
      </w:r>
      <w:r w:rsidR="00F717E3" w:rsidRPr="009B4F50">
        <w:rPr>
          <w:rFonts w:ascii="Times New Roman" w:eastAsiaTheme="majorEastAsia" w:hAnsi="Times New Roman" w:cs="Times New Roman"/>
          <w:szCs w:val="24"/>
        </w:rPr>
        <w:t>的申請人根本沒有任何上樓機會。可是，</w:t>
      </w:r>
      <w:r w:rsidR="00F717E3" w:rsidRPr="009B4F50">
        <w:rPr>
          <w:rFonts w:ascii="Times New Roman" w:eastAsiaTheme="majorEastAsia" w:hAnsi="Times New Roman" w:cs="Times New Roman"/>
          <w:b/>
          <w:szCs w:val="24"/>
        </w:rPr>
        <w:t>年齡高低並非決定住屋需要的單一指標，配額及計分制度完全違背房委會｢為沒有能力租住私人樓宇的低收入家庭提供公屋｣之宗旨。</w:t>
      </w:r>
    </w:p>
    <w:p w:rsidR="00016B1A" w:rsidRPr="009B4F50" w:rsidRDefault="00016B1A" w:rsidP="00BB45D1">
      <w:pPr>
        <w:spacing w:line="240" w:lineRule="atLeast"/>
        <w:jc w:val="both"/>
        <w:rPr>
          <w:rFonts w:ascii="Times New Roman" w:eastAsiaTheme="majorEastAsia" w:hAnsi="Times New Roman" w:cs="Times New Roman"/>
          <w:szCs w:val="24"/>
        </w:rPr>
      </w:pPr>
    </w:p>
    <w:p w:rsidR="00F717E3" w:rsidRPr="009B4F50" w:rsidRDefault="00204571" w:rsidP="00A2093A">
      <w:pPr>
        <w:pStyle w:val="ListParagraph"/>
        <w:numPr>
          <w:ilvl w:val="0"/>
          <w:numId w:val="13"/>
        </w:numPr>
        <w:ind w:leftChars="0"/>
        <w:jc w:val="both"/>
        <w:rPr>
          <w:rFonts w:ascii="Times New Roman" w:eastAsiaTheme="majorEastAsia" w:hAnsi="Times New Roman" w:cs="Times New Roman"/>
          <w:b/>
          <w:szCs w:val="24"/>
          <w:u w:val="single"/>
          <w:cs/>
        </w:rPr>
      </w:pPr>
      <w:r w:rsidRPr="009B4F50">
        <w:rPr>
          <w:rFonts w:ascii="Times New Roman" w:eastAsiaTheme="majorEastAsia" w:hAnsi="Times New Roman" w:cs="Times New Roman"/>
          <w:b/>
          <w:szCs w:val="24"/>
          <w:u w:val="single"/>
        </w:rPr>
        <w:lastRenderedPageBreak/>
        <w:t>撤銷租管</w:t>
      </w:r>
      <w:r w:rsidR="00F717E3" w:rsidRPr="009B4F50">
        <w:rPr>
          <w:rFonts w:ascii="Times New Roman" w:eastAsiaTheme="majorEastAsia" w:hAnsi="Times New Roman" w:cs="Times New Roman"/>
          <w:b/>
          <w:szCs w:val="24"/>
          <w:u w:val="single"/>
        </w:rPr>
        <w:t>負擔加劇</w:t>
      </w:r>
    </w:p>
    <w:p w:rsidR="00204571" w:rsidRDefault="00F717E3" w:rsidP="00016B1A">
      <w:pPr>
        <w:pStyle w:val="Normal1"/>
        <w:spacing w:line="240" w:lineRule="auto"/>
        <w:jc w:val="both"/>
        <w:rPr>
          <w:rFonts w:ascii="Times New Roman" w:eastAsiaTheme="majorEastAsia" w:hAnsi="Times New Roman" w:cs="Times New Roman"/>
          <w:kern w:val="0"/>
          <w:sz w:val="24"/>
          <w:szCs w:val="24"/>
        </w:rPr>
      </w:pPr>
      <w:r w:rsidRPr="009B4F50">
        <w:rPr>
          <w:rFonts w:ascii="Times New Roman" w:eastAsiaTheme="majorEastAsia" w:hAnsi="Times New Roman" w:cs="Times New Roman"/>
          <w:color w:val="auto"/>
          <w:sz w:val="24"/>
          <w:szCs w:val="24"/>
        </w:rPr>
        <w:t xml:space="preserve">    </w:t>
      </w:r>
      <w:r w:rsidRPr="009B4F50">
        <w:rPr>
          <w:rFonts w:ascii="Times New Roman" w:eastAsiaTheme="majorEastAsia" w:hAnsi="Times New Roman" w:cs="Times New Roman"/>
          <w:color w:val="auto"/>
          <w:sz w:val="24"/>
          <w:szCs w:val="24"/>
        </w:rPr>
        <w:t>事實上，自</w:t>
      </w:r>
      <w:r w:rsidRPr="009B4F50">
        <w:rPr>
          <w:rFonts w:ascii="Times New Roman" w:eastAsiaTheme="majorEastAsia" w:hAnsi="Times New Roman" w:cs="Times New Roman"/>
          <w:color w:val="auto"/>
          <w:sz w:val="24"/>
          <w:szCs w:val="24"/>
        </w:rPr>
        <w:t>2004</w:t>
      </w:r>
      <w:r w:rsidRPr="009B4F50">
        <w:rPr>
          <w:rFonts w:ascii="Times New Roman" w:eastAsiaTheme="majorEastAsia" w:hAnsi="Times New Roman" w:cs="Times New Roman"/>
          <w:color w:val="auto"/>
          <w:sz w:val="24"/>
          <w:szCs w:val="24"/>
        </w:rPr>
        <w:t>年至今，私人住宅租金一直按年上升，十年間租金上升接近一倍，其中以較小面積之單位升幅最高，升幅超過一點三倍。按年整體而言，單位面積愈小，租金升幅愈高。根據本會最新公佈的</w:t>
      </w:r>
      <w:r w:rsidRPr="009B4F50">
        <w:rPr>
          <w:rFonts w:ascii="Times New Roman" w:eastAsiaTheme="majorEastAsia" w:hAnsi="Times New Roman" w:cs="Times New Roman"/>
          <w:b/>
          <w:color w:val="auto"/>
          <w:sz w:val="24"/>
          <w:szCs w:val="24"/>
        </w:rPr>
        <w:t>「</w:t>
      </w:r>
      <w:r w:rsidRPr="009B4F50">
        <w:rPr>
          <w:rFonts w:ascii="Times New Roman" w:eastAsiaTheme="majorEastAsia" w:hAnsi="Times New Roman" w:cs="Times New Roman"/>
          <w:b/>
          <w:color w:val="auto"/>
          <w:sz w:val="24"/>
          <w:szCs w:val="24"/>
        </w:rPr>
        <w:t>2015 N</w:t>
      </w:r>
      <w:r w:rsidRPr="009B4F50">
        <w:rPr>
          <w:rFonts w:ascii="Times New Roman" w:eastAsiaTheme="majorEastAsia" w:hAnsi="Times New Roman" w:cs="Times New Roman"/>
          <w:b/>
          <w:color w:val="auto"/>
          <w:sz w:val="24"/>
          <w:szCs w:val="24"/>
        </w:rPr>
        <w:t>無人士租金調查中」</w:t>
      </w:r>
      <w:r w:rsidRPr="009B4F50">
        <w:rPr>
          <w:rFonts w:ascii="Times New Roman" w:eastAsiaTheme="majorEastAsia" w:hAnsi="Times New Roman" w:cs="Times New Roman"/>
          <w:color w:val="auto"/>
          <w:sz w:val="24"/>
          <w:szCs w:val="24"/>
        </w:rPr>
        <w:t>，</w:t>
      </w:r>
      <w:r w:rsidRPr="009B4F50">
        <w:rPr>
          <w:rFonts w:ascii="Times New Roman" w:eastAsiaTheme="majorEastAsia" w:hAnsi="Times New Roman" w:cs="Times New Roman"/>
          <w:sz w:val="24"/>
          <w:szCs w:val="24"/>
        </w:rPr>
        <w:t>比較兩年</w:t>
      </w:r>
      <w:r w:rsidRPr="009B4F50">
        <w:rPr>
          <w:rFonts w:ascii="Times New Roman" w:eastAsiaTheme="majorEastAsia" w:hAnsi="Times New Roman" w:cs="Times New Roman"/>
          <w:sz w:val="24"/>
          <w:szCs w:val="24"/>
        </w:rPr>
        <w:t>(2013</w:t>
      </w:r>
      <w:r w:rsidRPr="009B4F50">
        <w:rPr>
          <w:rFonts w:ascii="Times New Roman" w:eastAsiaTheme="majorEastAsia" w:hAnsi="Times New Roman" w:cs="Times New Roman"/>
          <w:sz w:val="24"/>
          <w:szCs w:val="24"/>
        </w:rPr>
        <w:t>年至</w:t>
      </w:r>
      <w:r w:rsidRPr="009B4F50">
        <w:rPr>
          <w:rFonts w:ascii="Times New Roman" w:eastAsiaTheme="majorEastAsia" w:hAnsi="Times New Roman" w:cs="Times New Roman"/>
          <w:sz w:val="24"/>
          <w:szCs w:val="24"/>
        </w:rPr>
        <w:t>2015</w:t>
      </w:r>
      <w:r w:rsidRPr="009B4F50">
        <w:rPr>
          <w:rFonts w:ascii="Times New Roman" w:eastAsiaTheme="majorEastAsia" w:hAnsi="Times New Roman" w:cs="Times New Roman"/>
          <w:sz w:val="24"/>
          <w:szCs w:val="24"/>
        </w:rPr>
        <w:t>年</w:t>
      </w:r>
      <w:r w:rsidRPr="009B4F50">
        <w:rPr>
          <w:rFonts w:ascii="Times New Roman" w:eastAsiaTheme="majorEastAsia" w:hAnsi="Times New Roman" w:cs="Times New Roman"/>
          <w:sz w:val="24"/>
          <w:szCs w:val="24"/>
        </w:rPr>
        <w:t>)</w:t>
      </w:r>
      <w:r w:rsidRPr="009B4F50">
        <w:rPr>
          <w:rFonts w:ascii="Times New Roman" w:eastAsiaTheme="majorEastAsia" w:hAnsi="Times New Roman" w:cs="Times New Roman"/>
          <w:sz w:val="24"/>
          <w:szCs w:val="24"/>
        </w:rPr>
        <w:t>同一單位同一住戶</w:t>
      </w:r>
      <w:r w:rsidR="00016B1A" w:rsidRPr="009B4F50">
        <w:rPr>
          <w:rFonts w:ascii="Times New Roman" w:eastAsiaTheme="majorEastAsia" w:hAnsi="Times New Roman" w:cs="Times New Roman"/>
          <w:sz w:val="24"/>
          <w:szCs w:val="24"/>
        </w:rPr>
        <w:t>的劏房</w:t>
      </w:r>
      <w:r w:rsidRPr="009B4F50">
        <w:rPr>
          <w:rFonts w:ascii="Times New Roman" w:eastAsiaTheme="majorEastAsia" w:hAnsi="Times New Roman" w:cs="Times New Roman"/>
          <w:sz w:val="24"/>
          <w:szCs w:val="24"/>
        </w:rPr>
        <w:t>受訪者，</w:t>
      </w:r>
      <w:r w:rsidRPr="009B4F50">
        <w:rPr>
          <w:rFonts w:ascii="Times New Roman" w:eastAsiaTheme="majorEastAsia" w:hAnsi="Times New Roman" w:cs="Times New Roman"/>
          <w:b/>
          <w:sz w:val="24"/>
          <w:szCs w:val="24"/>
        </w:rPr>
        <w:t>兩年間曾有近七成住戶之租金錄得升幅，加租中位數達</w:t>
      </w:r>
      <w:r w:rsidRPr="009B4F50">
        <w:rPr>
          <w:rFonts w:ascii="Times New Roman" w:eastAsiaTheme="majorEastAsia" w:hAnsi="Times New Roman" w:cs="Times New Roman"/>
          <w:b/>
          <w:sz w:val="24"/>
          <w:szCs w:val="24"/>
        </w:rPr>
        <w:t>18%</w:t>
      </w:r>
      <w:r w:rsidRPr="009B4F50">
        <w:rPr>
          <w:rFonts w:ascii="Times New Roman" w:eastAsiaTheme="majorEastAsia" w:hAnsi="Times New Roman" w:cs="Times New Roman"/>
          <w:b/>
          <w:sz w:val="24"/>
          <w:szCs w:val="24"/>
        </w:rPr>
        <w:t>，遠高於同期租金指數整體升幅之</w:t>
      </w:r>
      <w:r w:rsidRPr="009B4F50">
        <w:rPr>
          <w:rFonts w:ascii="Times New Roman" w:eastAsiaTheme="majorEastAsia" w:hAnsi="Times New Roman" w:cs="Times New Roman"/>
          <w:b/>
          <w:sz w:val="24"/>
          <w:szCs w:val="24"/>
        </w:rPr>
        <w:t>11.8%</w:t>
      </w:r>
      <w:r w:rsidRPr="009B4F50">
        <w:rPr>
          <w:rFonts w:ascii="Times New Roman" w:eastAsiaTheme="majorEastAsia" w:hAnsi="Times New Roman" w:cs="Times New Roman"/>
          <w:b/>
          <w:sz w:val="24"/>
          <w:szCs w:val="24"/>
        </w:rPr>
        <w:t>，亦高於同年小型單位租金升幅之</w:t>
      </w:r>
      <w:r w:rsidRPr="009B4F50">
        <w:rPr>
          <w:rFonts w:ascii="Times New Roman" w:eastAsiaTheme="majorEastAsia" w:hAnsi="Times New Roman" w:cs="Times New Roman"/>
          <w:b/>
          <w:sz w:val="24"/>
          <w:szCs w:val="24"/>
        </w:rPr>
        <w:t>14.6%</w:t>
      </w:r>
      <w:r w:rsidRPr="009B4F50">
        <w:rPr>
          <w:rFonts w:ascii="Times New Roman" w:eastAsiaTheme="majorEastAsia" w:hAnsi="Times New Roman" w:cs="Times New Roman"/>
          <w:b/>
          <w:sz w:val="24"/>
          <w:szCs w:val="24"/>
        </w:rPr>
        <w:t>，</w:t>
      </w:r>
      <w:r w:rsidRPr="009B4F50">
        <w:rPr>
          <w:rFonts w:ascii="Times New Roman" w:eastAsiaTheme="majorEastAsia" w:hAnsi="Times New Roman" w:cs="Times New Roman"/>
          <w:sz w:val="24"/>
          <w:szCs w:val="24"/>
        </w:rPr>
        <w:t>足以反映劏房加租情況之誇張。而調查發現，受訪者中</w:t>
      </w:r>
      <w:r w:rsidRPr="009B4F50">
        <w:rPr>
          <w:rFonts w:ascii="Times New Roman" w:eastAsiaTheme="majorEastAsia" w:hAnsi="Times New Roman" w:cs="Times New Roman"/>
          <w:b/>
          <w:sz w:val="24"/>
          <w:szCs w:val="24"/>
        </w:rPr>
        <w:t>整體住戶的租金佔入息比例達</w:t>
      </w:r>
      <w:r w:rsidRPr="009B4F50">
        <w:rPr>
          <w:rFonts w:ascii="Times New Roman" w:eastAsiaTheme="majorEastAsia" w:hAnsi="Times New Roman" w:cs="Times New Roman"/>
          <w:b/>
          <w:sz w:val="24"/>
          <w:szCs w:val="24"/>
        </w:rPr>
        <w:t>34.8%</w:t>
      </w:r>
      <w:r w:rsidRPr="009B4F50">
        <w:rPr>
          <w:rFonts w:ascii="Times New Roman" w:eastAsiaTheme="majorEastAsia" w:hAnsi="Times New Roman" w:cs="Times New Roman"/>
          <w:b/>
          <w:sz w:val="24"/>
          <w:szCs w:val="24"/>
        </w:rPr>
        <w:t>，</w:t>
      </w:r>
      <w:r w:rsidRPr="009B4F50">
        <w:rPr>
          <w:rFonts w:ascii="Times New Roman" w:eastAsiaTheme="majorEastAsia" w:hAnsi="Times New Roman" w:cs="Times New Roman"/>
          <w:sz w:val="24"/>
          <w:szCs w:val="24"/>
        </w:rPr>
        <w:t>較統計處近月剛公佈《香港分間樓宇單位的住屋狀況》中整體住戶的租金佔入息比例達</w:t>
      </w:r>
      <w:r w:rsidRPr="009B4F50">
        <w:rPr>
          <w:rFonts w:ascii="Times New Roman" w:eastAsiaTheme="majorEastAsia" w:hAnsi="Times New Roman" w:cs="Times New Roman"/>
          <w:sz w:val="24"/>
          <w:szCs w:val="24"/>
        </w:rPr>
        <w:t>30.8%</w:t>
      </w:r>
      <w:r w:rsidRPr="009B4F50">
        <w:rPr>
          <w:rFonts w:ascii="Times New Roman" w:eastAsiaTheme="majorEastAsia" w:hAnsi="Times New Roman" w:cs="Times New Roman"/>
          <w:sz w:val="24"/>
          <w:szCs w:val="24"/>
        </w:rPr>
        <w:t>更高。現時私樓市場租金瘋狂增加，與政府先後</w:t>
      </w:r>
      <w:r w:rsidRPr="009B4F50">
        <w:rPr>
          <w:rFonts w:ascii="Times New Roman" w:eastAsiaTheme="majorEastAsia" w:hAnsi="Times New Roman" w:cs="Times New Roman"/>
          <w:kern w:val="0"/>
          <w:sz w:val="24"/>
          <w:szCs w:val="24"/>
        </w:rPr>
        <w:t>於</w:t>
      </w:r>
      <w:r w:rsidRPr="009B4F50">
        <w:rPr>
          <w:rFonts w:ascii="Times New Roman" w:eastAsiaTheme="majorEastAsia" w:hAnsi="Times New Roman" w:cs="Times New Roman"/>
          <w:kern w:val="0"/>
          <w:sz w:val="24"/>
          <w:szCs w:val="24"/>
        </w:rPr>
        <w:t>1998</w:t>
      </w:r>
      <w:r w:rsidRPr="009B4F50">
        <w:rPr>
          <w:rFonts w:ascii="Times New Roman" w:eastAsiaTheme="majorEastAsia" w:hAnsi="Times New Roman" w:cs="Times New Roman"/>
          <w:kern w:val="0"/>
          <w:sz w:val="24"/>
          <w:szCs w:val="24"/>
        </w:rPr>
        <w:t>年及</w:t>
      </w:r>
      <w:r w:rsidRPr="009B4F50">
        <w:rPr>
          <w:rFonts w:ascii="Times New Roman" w:eastAsiaTheme="majorEastAsia" w:hAnsi="Times New Roman" w:cs="Times New Roman"/>
          <w:kern w:val="0"/>
          <w:sz w:val="24"/>
          <w:szCs w:val="24"/>
        </w:rPr>
        <w:t>2004</w:t>
      </w:r>
      <w:r w:rsidRPr="009B4F50">
        <w:rPr>
          <w:rFonts w:ascii="Times New Roman" w:eastAsiaTheme="majorEastAsia" w:hAnsi="Times New Roman" w:cs="Times New Roman"/>
          <w:kern w:val="0"/>
          <w:sz w:val="24"/>
          <w:szCs w:val="24"/>
        </w:rPr>
        <w:t>年取消租金管制及租住權保障有莫大關連。</w:t>
      </w:r>
      <w:r w:rsidRPr="009B4F50">
        <w:rPr>
          <w:rFonts w:ascii="Times New Roman" w:eastAsiaTheme="majorEastAsia" w:hAnsi="Times New Roman" w:cs="Times New Roman"/>
          <w:color w:val="auto"/>
          <w:sz w:val="24"/>
          <w:szCs w:val="24"/>
        </w:rPr>
        <w:t>撤銷租金管制後，</w:t>
      </w:r>
      <w:r w:rsidR="00BA0B1F" w:rsidRPr="009B4F50">
        <w:rPr>
          <w:rFonts w:ascii="Times New Roman" w:eastAsiaTheme="majorEastAsia" w:hAnsi="Times New Roman" w:cs="Times New Roman"/>
          <w:kern w:val="0"/>
          <w:sz w:val="24"/>
          <w:szCs w:val="24"/>
        </w:rPr>
        <w:t>租金變動全由業主與租客雙方協議。在現時公屋嚴重不足，輪候時間不斷延長的</w:t>
      </w:r>
      <w:r w:rsidRPr="009B4F50">
        <w:rPr>
          <w:rFonts w:ascii="Times New Roman" w:eastAsiaTheme="majorEastAsia" w:hAnsi="Times New Roman" w:cs="Times New Roman"/>
          <w:kern w:val="0"/>
          <w:sz w:val="24"/>
          <w:szCs w:val="24"/>
        </w:rPr>
        <w:t>情況下，劏房需求只會不斷上升。業主在「唔憂租」的前提下自然有更大的議價能力無理增加租金，而基層租戶深諳「一屋難求」，只好「肉隨砧板上」，任由業主宰割。</w:t>
      </w:r>
    </w:p>
    <w:p w:rsidR="0030630B" w:rsidRPr="009B4F50" w:rsidRDefault="0030630B" w:rsidP="0030630B">
      <w:pPr>
        <w:jc w:val="center"/>
        <w:rPr>
          <w:rFonts w:ascii="Times New Roman" w:eastAsiaTheme="majorEastAsia" w:hAnsi="Times New Roman" w:cs="Times New Roman"/>
          <w:b/>
          <w:szCs w:val="24"/>
        </w:rPr>
      </w:pPr>
      <w:r w:rsidRPr="009B4F50">
        <w:rPr>
          <w:rFonts w:ascii="Times New Roman" w:eastAsiaTheme="majorEastAsia" w:hAnsi="Times New Roman" w:cs="Times New Roman"/>
          <w:b/>
          <w:szCs w:val="24"/>
        </w:rPr>
        <w:t>建議</w:t>
      </w:r>
    </w:p>
    <w:p w:rsidR="00204571" w:rsidRPr="009B4F50" w:rsidRDefault="0030630B" w:rsidP="00D956D2">
      <w:pPr>
        <w:jc w:val="both"/>
        <w:rPr>
          <w:rFonts w:ascii="Times New Roman" w:eastAsiaTheme="majorEastAsia" w:hAnsi="Times New Roman" w:cs="Times New Roman"/>
          <w:szCs w:val="24"/>
        </w:rPr>
      </w:pPr>
      <w:r w:rsidRPr="009B4F50">
        <w:rPr>
          <w:rFonts w:ascii="Times New Roman" w:eastAsiaTheme="majorEastAsia" w:hAnsi="Times New Roman" w:cs="Times New Roman"/>
          <w:szCs w:val="24"/>
        </w:rPr>
        <w:t xml:space="preserve">    </w:t>
      </w:r>
      <w:r w:rsidRPr="009B4F50">
        <w:rPr>
          <w:rFonts w:ascii="Times New Roman" w:eastAsiaTheme="majorEastAsia" w:hAnsi="Times New Roman" w:cs="Times New Roman"/>
          <w:szCs w:val="24"/>
        </w:rPr>
        <w:t>無可否認，香港的房屋問題愈來愈嚴重。公屋輪候數字屢創新高、分間樓宇單位住戶人數接近</w:t>
      </w:r>
      <w:r w:rsidRPr="009B4F50">
        <w:rPr>
          <w:rFonts w:ascii="Times New Roman" w:eastAsiaTheme="majorEastAsia" w:hAnsi="Times New Roman" w:cs="Times New Roman"/>
          <w:szCs w:val="24"/>
        </w:rPr>
        <w:t>20</w:t>
      </w:r>
      <w:r w:rsidRPr="009B4F50">
        <w:rPr>
          <w:rFonts w:ascii="Times New Roman" w:eastAsiaTheme="majorEastAsia" w:hAnsi="Times New Roman" w:cs="Times New Roman"/>
          <w:szCs w:val="24"/>
        </w:rPr>
        <w:t>萬水平等，均反映基層市民活在水深火熱之中，面對貴租卻上樓無期。政府雖然不斷強調積極覓地建</w:t>
      </w:r>
      <w:r w:rsidR="00BB45D1" w:rsidRPr="009B4F50">
        <w:rPr>
          <w:rFonts w:ascii="Times New Roman" w:eastAsiaTheme="majorEastAsia" w:hAnsi="Times New Roman" w:cs="Times New Roman"/>
          <w:szCs w:val="24"/>
        </w:rPr>
        <w:t>屋</w:t>
      </w:r>
      <w:r w:rsidR="00016B1A" w:rsidRPr="009B4F50">
        <w:rPr>
          <w:rFonts w:ascii="Times New Roman" w:eastAsiaTheme="majorEastAsia" w:hAnsi="Times New Roman" w:cs="Times New Roman"/>
          <w:szCs w:val="24"/>
        </w:rPr>
        <w:t>，但</w:t>
      </w:r>
      <w:r w:rsidR="00204571" w:rsidRPr="009B4F50">
        <w:rPr>
          <w:rFonts w:ascii="Times New Roman" w:eastAsiaTheme="majorEastAsia" w:hAnsi="Times New Roman" w:cs="Times New Roman"/>
          <w:szCs w:val="24"/>
        </w:rPr>
        <w:t>政府數字已反映未來</w:t>
      </w:r>
      <w:r w:rsidR="00204571" w:rsidRPr="009B4F50">
        <w:rPr>
          <w:rFonts w:ascii="Times New Roman" w:eastAsiaTheme="majorEastAsia" w:hAnsi="Times New Roman" w:cs="Times New Roman"/>
          <w:szCs w:val="24"/>
        </w:rPr>
        <w:t>10</w:t>
      </w:r>
      <w:r w:rsidR="00204571" w:rsidRPr="009B4F50">
        <w:rPr>
          <w:rFonts w:ascii="Times New Roman" w:eastAsiaTheme="majorEastAsia" w:hAnsi="Times New Roman" w:cs="Times New Roman"/>
          <w:szCs w:val="24"/>
        </w:rPr>
        <w:t>年公屋供應覓地不足，</w:t>
      </w:r>
      <w:r w:rsidR="00BB45D1" w:rsidRPr="009B4F50">
        <w:rPr>
          <w:rFonts w:ascii="Times New Roman" w:eastAsiaTheme="majorEastAsia" w:hAnsi="Times New Roman" w:cs="Times New Roman"/>
          <w:szCs w:val="24"/>
        </w:rPr>
        <w:t>難以提供</w:t>
      </w:r>
      <w:r w:rsidR="00204571" w:rsidRPr="009B4F50">
        <w:rPr>
          <w:rFonts w:ascii="Times New Roman" w:eastAsiaTheme="majorEastAsia" w:hAnsi="Times New Roman" w:cs="Times New Roman"/>
          <w:szCs w:val="24"/>
        </w:rPr>
        <w:t>29</w:t>
      </w:r>
      <w:r w:rsidR="00204571" w:rsidRPr="009B4F50">
        <w:rPr>
          <w:rFonts w:ascii="Times New Roman" w:eastAsiaTheme="majorEastAsia" w:hAnsi="Times New Roman" w:cs="Times New Roman"/>
          <w:szCs w:val="24"/>
        </w:rPr>
        <w:t>萬個單位</w:t>
      </w:r>
      <w:r w:rsidR="00BB45D1" w:rsidRPr="009B4F50">
        <w:rPr>
          <w:rFonts w:ascii="Times New Roman" w:eastAsiaTheme="majorEastAsia" w:hAnsi="Times New Roman" w:cs="Times New Roman"/>
          <w:szCs w:val="24"/>
        </w:rPr>
        <w:t>，未來輪候情況未見明朗。</w:t>
      </w:r>
    </w:p>
    <w:p w:rsidR="00204571" w:rsidRPr="009B4F50" w:rsidRDefault="00BB45D1" w:rsidP="00D956D2">
      <w:pPr>
        <w:jc w:val="both"/>
        <w:rPr>
          <w:rFonts w:ascii="Times New Roman" w:eastAsiaTheme="majorEastAsia" w:hAnsi="Times New Roman" w:cs="Times New Roman"/>
          <w:szCs w:val="24"/>
        </w:rPr>
      </w:pPr>
      <w:r w:rsidRPr="009B4F50">
        <w:rPr>
          <w:rFonts w:ascii="Times New Roman" w:eastAsiaTheme="majorEastAsia" w:hAnsi="Times New Roman" w:cs="Times New Roman"/>
          <w:szCs w:val="24"/>
        </w:rPr>
        <w:t xml:space="preserve">    </w:t>
      </w:r>
      <w:r w:rsidRPr="009B4F50">
        <w:rPr>
          <w:rFonts w:ascii="Times New Roman" w:eastAsiaTheme="majorEastAsia" w:hAnsi="Times New Roman" w:cs="Times New Roman"/>
          <w:szCs w:val="24"/>
        </w:rPr>
        <w:t>可是，政府一直</w:t>
      </w:r>
      <w:r w:rsidR="00204571" w:rsidRPr="009B4F50">
        <w:rPr>
          <w:rFonts w:ascii="Times New Roman" w:eastAsiaTheme="majorEastAsia" w:hAnsi="Times New Roman" w:cs="Times New Roman"/>
          <w:szCs w:val="24"/>
        </w:rPr>
        <w:t>忽略中短期措施，</w:t>
      </w:r>
      <w:r w:rsidR="0030630B" w:rsidRPr="009B4F50">
        <w:rPr>
          <w:rFonts w:ascii="Times New Roman" w:eastAsiaTheme="majorEastAsia" w:hAnsi="Times New Roman" w:cs="Times New Roman"/>
          <w:szCs w:val="24"/>
        </w:rPr>
        <w:t>拒絕租務管制，</w:t>
      </w:r>
      <w:r w:rsidRPr="009B4F50">
        <w:rPr>
          <w:rFonts w:ascii="Times New Roman" w:eastAsiaTheme="majorEastAsia" w:hAnsi="Times New Roman" w:cs="Times New Roman"/>
          <w:szCs w:val="24"/>
        </w:rPr>
        <w:t>導致</w:t>
      </w:r>
      <w:r w:rsidR="0030630B" w:rsidRPr="009B4F50">
        <w:rPr>
          <w:rFonts w:ascii="Times New Roman" w:eastAsiaTheme="majorEastAsia" w:hAnsi="Times New Roman" w:cs="Times New Roman"/>
          <w:szCs w:val="24"/>
        </w:rPr>
        <w:t>市面租金水平</w:t>
      </w:r>
      <w:r w:rsidRPr="009B4F50">
        <w:rPr>
          <w:rFonts w:ascii="Times New Roman" w:eastAsiaTheme="majorEastAsia" w:hAnsi="Times New Roman" w:cs="Times New Roman"/>
          <w:szCs w:val="24"/>
        </w:rPr>
        <w:t>不斷</w:t>
      </w:r>
      <w:r w:rsidR="0030630B" w:rsidRPr="009B4F50">
        <w:rPr>
          <w:rFonts w:ascii="Times New Roman" w:eastAsiaTheme="majorEastAsia" w:hAnsi="Times New Roman" w:cs="Times New Roman"/>
          <w:szCs w:val="24"/>
        </w:rPr>
        <w:t>破頂</w:t>
      </w:r>
      <w:r w:rsidRPr="009B4F50">
        <w:rPr>
          <w:rFonts w:ascii="Times New Roman" w:eastAsiaTheme="majorEastAsia" w:hAnsi="Times New Roman" w:cs="Times New Roman"/>
          <w:szCs w:val="24"/>
        </w:rPr>
        <w:t>，市民生活可能更見困苦。故除公屋般長遠政策外，政府實有需要提供其他中短期措施，紓緩住屋壓力。</w:t>
      </w:r>
      <w:r w:rsidR="00204571" w:rsidRPr="009B4F50">
        <w:rPr>
          <w:rFonts w:ascii="Times New Roman" w:eastAsiaTheme="majorEastAsia" w:hAnsi="Times New Roman" w:cs="Times New Roman"/>
          <w:szCs w:val="24"/>
        </w:rPr>
        <w:t>本會政策建議如下：</w:t>
      </w:r>
    </w:p>
    <w:tbl>
      <w:tblPr>
        <w:tblStyle w:val="TableGrid"/>
        <w:tblpPr w:leftFromText="180" w:rightFromText="180" w:vertAnchor="text" w:horzAnchor="margin" w:tblpY="62"/>
        <w:tblW w:w="9072" w:type="dxa"/>
        <w:tblLook w:val="04A0" w:firstRow="1" w:lastRow="0" w:firstColumn="1" w:lastColumn="0" w:noHBand="0" w:noVBand="1"/>
      </w:tblPr>
      <w:tblGrid>
        <w:gridCol w:w="1838"/>
        <w:gridCol w:w="7234"/>
      </w:tblGrid>
      <w:tr w:rsidR="00204571" w:rsidRPr="009B4F50" w:rsidTr="00C92648">
        <w:tc>
          <w:tcPr>
            <w:tcW w:w="1838" w:type="dxa"/>
            <w:shd w:val="clear" w:color="auto" w:fill="D9D9D9" w:themeFill="background1" w:themeFillShade="D9"/>
          </w:tcPr>
          <w:p w:rsidR="00204571" w:rsidRPr="009B4F50" w:rsidRDefault="00204571" w:rsidP="00DA3496">
            <w:pPr>
              <w:jc w:val="both"/>
              <w:rPr>
                <w:rFonts w:ascii="Times New Roman" w:eastAsiaTheme="majorEastAsia" w:hAnsi="Times New Roman" w:cs="Times New Roman"/>
                <w:b/>
                <w:szCs w:val="24"/>
              </w:rPr>
            </w:pPr>
            <w:r w:rsidRPr="009B4F50">
              <w:rPr>
                <w:rFonts w:ascii="Times New Roman" w:eastAsiaTheme="majorEastAsia" w:hAnsi="Times New Roman" w:cs="Times New Roman"/>
                <w:b/>
                <w:szCs w:val="24"/>
              </w:rPr>
              <w:t>範疇</w:t>
            </w:r>
          </w:p>
        </w:tc>
        <w:tc>
          <w:tcPr>
            <w:tcW w:w="7234" w:type="dxa"/>
          </w:tcPr>
          <w:p w:rsidR="00204571" w:rsidRPr="009B4F50" w:rsidRDefault="00204571" w:rsidP="00DA3496">
            <w:pPr>
              <w:jc w:val="both"/>
              <w:rPr>
                <w:rFonts w:ascii="Times New Roman" w:eastAsiaTheme="majorEastAsia" w:hAnsi="Times New Roman" w:cs="Times New Roman"/>
                <w:b/>
                <w:szCs w:val="24"/>
              </w:rPr>
            </w:pPr>
            <w:r w:rsidRPr="009B4F50">
              <w:rPr>
                <w:rFonts w:ascii="Times New Roman" w:eastAsiaTheme="majorEastAsia" w:hAnsi="Times New Roman" w:cs="Times New Roman"/>
                <w:b/>
                <w:szCs w:val="24"/>
              </w:rPr>
              <w:t>建議</w:t>
            </w:r>
            <w:bookmarkStart w:id="0" w:name="_GoBack"/>
            <w:bookmarkEnd w:id="0"/>
          </w:p>
        </w:tc>
      </w:tr>
      <w:tr w:rsidR="00204571" w:rsidRPr="009B4F50" w:rsidTr="00C92648">
        <w:tc>
          <w:tcPr>
            <w:tcW w:w="1838" w:type="dxa"/>
            <w:shd w:val="clear" w:color="auto" w:fill="D9D9D9" w:themeFill="background1" w:themeFillShade="D9"/>
          </w:tcPr>
          <w:p w:rsidR="00204571" w:rsidRPr="009B4F50" w:rsidRDefault="00204571" w:rsidP="00DA3496">
            <w:pPr>
              <w:jc w:val="both"/>
              <w:rPr>
                <w:rFonts w:ascii="Times New Roman" w:eastAsiaTheme="majorEastAsia" w:hAnsi="Times New Roman" w:cs="Times New Roman"/>
                <w:b/>
                <w:szCs w:val="24"/>
                <w:cs/>
              </w:rPr>
            </w:pPr>
            <w:r w:rsidRPr="009B4F50">
              <w:rPr>
                <w:rFonts w:ascii="Times New Roman" w:eastAsiaTheme="majorEastAsia" w:hAnsi="Times New Roman" w:cs="Times New Roman"/>
                <w:b/>
                <w:szCs w:val="24"/>
              </w:rPr>
              <w:t>整體公屋供應</w:t>
            </w:r>
          </w:p>
        </w:tc>
        <w:tc>
          <w:tcPr>
            <w:tcW w:w="7234" w:type="dxa"/>
          </w:tcPr>
          <w:p w:rsidR="00204571" w:rsidRPr="009B4F50" w:rsidRDefault="00204571" w:rsidP="00204571">
            <w:pPr>
              <w:pStyle w:val="ListParagraph"/>
              <w:numPr>
                <w:ilvl w:val="0"/>
                <w:numId w:val="4"/>
              </w:numPr>
              <w:ind w:leftChars="0"/>
              <w:jc w:val="both"/>
              <w:rPr>
                <w:rFonts w:ascii="Times New Roman" w:eastAsiaTheme="majorEastAsia" w:hAnsi="Times New Roman" w:cs="Times New Roman"/>
                <w:szCs w:val="24"/>
              </w:rPr>
            </w:pPr>
            <w:r w:rsidRPr="009B4F50">
              <w:rPr>
                <w:rFonts w:ascii="Times New Roman" w:eastAsiaTheme="majorEastAsia" w:hAnsi="Times New Roman" w:cs="Times New Roman"/>
                <w:szCs w:val="24"/>
              </w:rPr>
              <w:t>增建公屋至平均每年</w:t>
            </w:r>
            <w:r w:rsidRPr="009B4F50">
              <w:rPr>
                <w:rFonts w:ascii="Times New Roman" w:eastAsiaTheme="majorEastAsia" w:hAnsi="Times New Roman" w:cs="Times New Roman"/>
                <w:szCs w:val="24"/>
              </w:rPr>
              <w:t>35, 000</w:t>
            </w:r>
            <w:r w:rsidRPr="009B4F50">
              <w:rPr>
                <w:rFonts w:ascii="Times New Roman" w:eastAsiaTheme="majorEastAsia" w:hAnsi="Times New Roman" w:cs="Times New Roman"/>
                <w:szCs w:val="24"/>
              </w:rPr>
              <w:t>落成量的水平</w:t>
            </w:r>
          </w:p>
          <w:p w:rsidR="00204571" w:rsidRPr="009B4F50" w:rsidRDefault="00204571" w:rsidP="00204571">
            <w:pPr>
              <w:pStyle w:val="ListParagraph"/>
              <w:numPr>
                <w:ilvl w:val="0"/>
                <w:numId w:val="4"/>
              </w:numPr>
              <w:ind w:leftChars="0"/>
              <w:jc w:val="both"/>
              <w:rPr>
                <w:rFonts w:ascii="Times New Roman" w:eastAsiaTheme="majorEastAsia" w:hAnsi="Times New Roman" w:cs="Times New Roman"/>
                <w:szCs w:val="24"/>
              </w:rPr>
            </w:pPr>
            <w:r w:rsidRPr="009B4F50">
              <w:rPr>
                <w:rFonts w:ascii="Times New Roman" w:eastAsiaTheme="majorEastAsia" w:hAnsi="Times New Roman" w:cs="Times New Roman"/>
                <w:szCs w:val="24"/>
              </w:rPr>
              <w:t>重新檢視長遠房屋策略進度，將公屋輪候冊數字納入住屋需求</w:t>
            </w:r>
          </w:p>
          <w:p w:rsidR="00204571" w:rsidRPr="009B4F50" w:rsidRDefault="00204571" w:rsidP="00204571">
            <w:pPr>
              <w:pStyle w:val="ListParagraph"/>
              <w:numPr>
                <w:ilvl w:val="0"/>
                <w:numId w:val="4"/>
              </w:numPr>
              <w:ind w:leftChars="0"/>
              <w:jc w:val="both"/>
              <w:rPr>
                <w:rFonts w:ascii="Times New Roman" w:eastAsiaTheme="majorEastAsia" w:hAnsi="Times New Roman" w:cs="Times New Roman"/>
                <w:szCs w:val="24"/>
                <w:cs/>
              </w:rPr>
            </w:pPr>
            <w:r w:rsidRPr="009B4F50">
              <w:rPr>
                <w:rFonts w:ascii="Times New Roman" w:eastAsiaTheme="majorEastAsia" w:hAnsi="Times New Roman" w:cs="Times New Roman"/>
                <w:szCs w:val="24"/>
              </w:rPr>
              <w:t>檢視及規劃大單位的需求及配額</w:t>
            </w:r>
            <w:r w:rsidR="00FA7183" w:rsidRPr="009B4F50">
              <w:rPr>
                <w:rFonts w:ascii="Times New Roman" w:eastAsiaTheme="majorEastAsia" w:hAnsi="Times New Roman" w:cs="Times New Roman"/>
                <w:szCs w:val="24"/>
              </w:rPr>
              <w:t>，降低輪候時間</w:t>
            </w:r>
          </w:p>
        </w:tc>
      </w:tr>
      <w:tr w:rsidR="00204571" w:rsidRPr="009B4F50" w:rsidTr="00C92648">
        <w:tc>
          <w:tcPr>
            <w:tcW w:w="1838" w:type="dxa"/>
            <w:shd w:val="clear" w:color="auto" w:fill="D9D9D9" w:themeFill="background1" w:themeFillShade="D9"/>
          </w:tcPr>
          <w:p w:rsidR="00204571" w:rsidRPr="009B4F50" w:rsidRDefault="00204571" w:rsidP="00DA3496">
            <w:pPr>
              <w:jc w:val="both"/>
              <w:rPr>
                <w:rFonts w:ascii="Times New Roman" w:eastAsiaTheme="majorEastAsia" w:hAnsi="Times New Roman" w:cs="Times New Roman"/>
                <w:b/>
                <w:szCs w:val="24"/>
              </w:rPr>
            </w:pPr>
            <w:r w:rsidRPr="009B4F50">
              <w:rPr>
                <w:rFonts w:ascii="Times New Roman" w:eastAsiaTheme="majorEastAsia" w:hAnsi="Times New Roman" w:cs="Times New Roman"/>
                <w:b/>
                <w:szCs w:val="24"/>
              </w:rPr>
              <w:t>非長者</w:t>
            </w:r>
          </w:p>
          <w:p w:rsidR="00204571" w:rsidRPr="009B4F50" w:rsidRDefault="00204571" w:rsidP="00DA3496">
            <w:pPr>
              <w:jc w:val="both"/>
              <w:rPr>
                <w:rFonts w:ascii="Times New Roman" w:eastAsiaTheme="majorEastAsia" w:hAnsi="Times New Roman" w:cs="Times New Roman"/>
                <w:b/>
                <w:szCs w:val="24"/>
              </w:rPr>
            </w:pPr>
            <w:r w:rsidRPr="009B4F50">
              <w:rPr>
                <w:rFonts w:ascii="Times New Roman" w:eastAsiaTheme="majorEastAsia" w:hAnsi="Times New Roman" w:cs="Times New Roman"/>
                <w:b/>
                <w:szCs w:val="24"/>
              </w:rPr>
              <w:t>單身人士</w:t>
            </w:r>
          </w:p>
        </w:tc>
        <w:tc>
          <w:tcPr>
            <w:tcW w:w="7234" w:type="dxa"/>
          </w:tcPr>
          <w:p w:rsidR="00204571" w:rsidRPr="009B4F50" w:rsidRDefault="00204571" w:rsidP="00204571">
            <w:pPr>
              <w:pStyle w:val="ListParagraph"/>
              <w:numPr>
                <w:ilvl w:val="0"/>
                <w:numId w:val="5"/>
              </w:numPr>
              <w:ind w:leftChars="0"/>
              <w:jc w:val="both"/>
              <w:rPr>
                <w:rFonts w:ascii="Times New Roman" w:eastAsiaTheme="majorEastAsia" w:hAnsi="Times New Roman" w:cs="Times New Roman"/>
                <w:szCs w:val="24"/>
              </w:rPr>
            </w:pPr>
            <w:r w:rsidRPr="009B4F50">
              <w:rPr>
                <w:rFonts w:ascii="Times New Roman" w:eastAsiaTheme="majorEastAsia" w:hAnsi="Times New Roman" w:cs="Times New Roman"/>
                <w:szCs w:val="24"/>
              </w:rPr>
              <w:t>重新檢討配額及計分制</w:t>
            </w:r>
          </w:p>
          <w:p w:rsidR="00204571" w:rsidRPr="009B4F50" w:rsidRDefault="00204571" w:rsidP="00204571">
            <w:pPr>
              <w:pStyle w:val="ListParagraph"/>
              <w:numPr>
                <w:ilvl w:val="0"/>
                <w:numId w:val="5"/>
              </w:numPr>
              <w:ind w:leftChars="0"/>
              <w:jc w:val="both"/>
              <w:rPr>
                <w:rFonts w:ascii="Times New Roman" w:eastAsiaTheme="majorEastAsia" w:hAnsi="Times New Roman" w:cs="Times New Roman"/>
                <w:szCs w:val="24"/>
              </w:rPr>
            </w:pPr>
            <w:r w:rsidRPr="009B4F50">
              <w:rPr>
                <w:rFonts w:ascii="Times New Roman" w:eastAsiaTheme="majorEastAsia" w:hAnsi="Times New Roman" w:cs="Times New Roman"/>
                <w:szCs w:val="24"/>
              </w:rPr>
              <w:t>為現時獨居人士提供額外分數</w:t>
            </w:r>
          </w:p>
          <w:p w:rsidR="00204571" w:rsidRPr="009B4F50" w:rsidRDefault="00204571" w:rsidP="00204571">
            <w:pPr>
              <w:pStyle w:val="ListParagraph"/>
              <w:numPr>
                <w:ilvl w:val="0"/>
                <w:numId w:val="5"/>
              </w:numPr>
              <w:ind w:leftChars="0"/>
              <w:jc w:val="both"/>
              <w:rPr>
                <w:rFonts w:ascii="Times New Roman" w:eastAsiaTheme="majorEastAsia" w:hAnsi="Times New Roman" w:cs="Times New Roman"/>
                <w:szCs w:val="24"/>
              </w:rPr>
            </w:pPr>
            <w:r w:rsidRPr="009B4F50">
              <w:rPr>
                <w:rFonts w:ascii="Times New Roman" w:eastAsiaTheme="majorEastAsia" w:hAnsi="Times New Roman" w:cs="Times New Roman"/>
                <w:szCs w:val="24"/>
              </w:rPr>
              <w:t>為非長者單身設｢輪候時間上限｣承諾</w:t>
            </w:r>
          </w:p>
        </w:tc>
      </w:tr>
      <w:tr w:rsidR="005B432B" w:rsidRPr="009B4F50" w:rsidTr="00C92648">
        <w:tc>
          <w:tcPr>
            <w:tcW w:w="1838" w:type="dxa"/>
            <w:shd w:val="clear" w:color="auto" w:fill="D9D9D9" w:themeFill="background1" w:themeFillShade="D9"/>
          </w:tcPr>
          <w:p w:rsidR="005B432B" w:rsidRPr="009B4F50" w:rsidRDefault="005B432B" w:rsidP="00DA3496">
            <w:pPr>
              <w:jc w:val="both"/>
              <w:rPr>
                <w:rFonts w:ascii="Times New Roman" w:eastAsiaTheme="majorEastAsia" w:hAnsi="Times New Roman" w:cs="Times New Roman"/>
                <w:b/>
                <w:szCs w:val="24"/>
              </w:rPr>
            </w:pPr>
            <w:r w:rsidRPr="009B4F50">
              <w:rPr>
                <w:rFonts w:ascii="Times New Roman" w:eastAsiaTheme="majorEastAsia" w:hAnsi="Times New Roman" w:cs="Times New Roman"/>
                <w:b/>
                <w:szCs w:val="24"/>
              </w:rPr>
              <w:t>租金津貼</w:t>
            </w:r>
          </w:p>
        </w:tc>
        <w:tc>
          <w:tcPr>
            <w:tcW w:w="7234" w:type="dxa"/>
          </w:tcPr>
          <w:p w:rsidR="005B432B" w:rsidRPr="009B4F50" w:rsidRDefault="005B432B" w:rsidP="005B432B">
            <w:pPr>
              <w:pStyle w:val="ListParagraph"/>
              <w:numPr>
                <w:ilvl w:val="0"/>
                <w:numId w:val="5"/>
              </w:numPr>
              <w:ind w:leftChars="0"/>
              <w:jc w:val="both"/>
              <w:rPr>
                <w:rFonts w:ascii="Times New Roman" w:eastAsiaTheme="majorEastAsia" w:hAnsi="Times New Roman" w:cs="Times New Roman"/>
                <w:szCs w:val="24"/>
              </w:rPr>
            </w:pPr>
            <w:r w:rsidRPr="009B4F50">
              <w:rPr>
                <w:rFonts w:ascii="Times New Roman" w:eastAsiaTheme="majorEastAsia" w:hAnsi="Times New Roman" w:cs="Times New Roman"/>
                <w:szCs w:val="24"/>
              </w:rPr>
              <w:t>為符合輪候公屋資格的輪候冊家庭提供租金津貼</w:t>
            </w:r>
          </w:p>
        </w:tc>
      </w:tr>
      <w:tr w:rsidR="00204571" w:rsidRPr="009B4F50" w:rsidTr="00C92648">
        <w:tc>
          <w:tcPr>
            <w:tcW w:w="1838" w:type="dxa"/>
            <w:shd w:val="clear" w:color="auto" w:fill="D9D9D9" w:themeFill="background1" w:themeFillShade="D9"/>
          </w:tcPr>
          <w:p w:rsidR="00204571" w:rsidRPr="009B4F50" w:rsidRDefault="00204571" w:rsidP="00DA3496">
            <w:pPr>
              <w:jc w:val="both"/>
              <w:rPr>
                <w:rFonts w:ascii="Times New Roman" w:eastAsiaTheme="majorEastAsia" w:hAnsi="Times New Roman" w:cs="Times New Roman"/>
                <w:b/>
                <w:szCs w:val="24"/>
              </w:rPr>
            </w:pPr>
            <w:r w:rsidRPr="009B4F50">
              <w:rPr>
                <w:rFonts w:ascii="Times New Roman" w:eastAsiaTheme="majorEastAsia" w:hAnsi="Times New Roman" w:cs="Times New Roman"/>
                <w:b/>
                <w:szCs w:val="24"/>
              </w:rPr>
              <w:t>租務管制</w:t>
            </w:r>
          </w:p>
        </w:tc>
        <w:tc>
          <w:tcPr>
            <w:tcW w:w="7234" w:type="dxa"/>
          </w:tcPr>
          <w:p w:rsidR="00204571" w:rsidRPr="009B4F50" w:rsidRDefault="00204571" w:rsidP="00204571">
            <w:pPr>
              <w:pStyle w:val="ListParagraph"/>
              <w:numPr>
                <w:ilvl w:val="0"/>
                <w:numId w:val="6"/>
              </w:numPr>
              <w:ind w:leftChars="0"/>
              <w:jc w:val="both"/>
              <w:rPr>
                <w:rFonts w:ascii="Times New Roman" w:eastAsiaTheme="majorEastAsia" w:hAnsi="Times New Roman" w:cs="Times New Roman"/>
                <w:szCs w:val="24"/>
              </w:rPr>
            </w:pPr>
            <w:r w:rsidRPr="009B4F50">
              <w:rPr>
                <w:rFonts w:ascii="Times New Roman" w:eastAsiaTheme="majorEastAsia" w:hAnsi="Times New Roman" w:cs="Times New Roman"/>
                <w:szCs w:val="24"/>
              </w:rPr>
              <w:t>重訂租務管制，租金升幅限制在兩年內升租不能超過</w:t>
            </w:r>
            <w:r w:rsidRPr="009B4F50">
              <w:rPr>
                <w:rFonts w:ascii="Times New Roman" w:eastAsiaTheme="majorEastAsia" w:hAnsi="Times New Roman" w:cs="Times New Roman"/>
                <w:szCs w:val="24"/>
              </w:rPr>
              <w:t>18%</w:t>
            </w:r>
          </w:p>
          <w:p w:rsidR="00204571" w:rsidRPr="009B4F50" w:rsidRDefault="00204571" w:rsidP="00204571">
            <w:pPr>
              <w:pStyle w:val="ListParagraph"/>
              <w:numPr>
                <w:ilvl w:val="0"/>
                <w:numId w:val="6"/>
              </w:numPr>
              <w:ind w:leftChars="0"/>
              <w:jc w:val="both"/>
              <w:rPr>
                <w:rFonts w:ascii="Times New Roman" w:eastAsiaTheme="majorEastAsia" w:hAnsi="Times New Roman" w:cs="Times New Roman"/>
                <w:szCs w:val="24"/>
              </w:rPr>
            </w:pPr>
            <w:r w:rsidRPr="009B4F50">
              <w:rPr>
                <w:rFonts w:ascii="Times New Roman" w:eastAsiaTheme="majorEastAsia" w:hAnsi="Times New Roman" w:cs="Times New Roman"/>
                <w:szCs w:val="24"/>
              </w:rPr>
              <w:t>設一負責全港租務事宜之部門、或賦予差餉物業估價署權責，以確立</w:t>
            </w:r>
            <w:r w:rsidRPr="009B4F50">
              <w:rPr>
                <w:rFonts w:ascii="Times New Roman" w:eastAsiaTheme="majorEastAsia" w:hAnsi="Times New Roman" w:cs="Times New Roman"/>
                <w:szCs w:val="24"/>
              </w:rPr>
              <w:t>«</w:t>
            </w:r>
            <w:r w:rsidRPr="009B4F50">
              <w:rPr>
                <w:rFonts w:ascii="Times New Roman" w:eastAsiaTheme="majorEastAsia" w:hAnsi="Times New Roman" w:cs="Times New Roman"/>
                <w:szCs w:val="24"/>
              </w:rPr>
              <w:t>業主與租客</w:t>
            </w:r>
            <w:r w:rsidRPr="009B4F50">
              <w:rPr>
                <w:rFonts w:ascii="Times New Roman" w:eastAsiaTheme="majorEastAsia" w:hAnsi="Times New Roman" w:cs="Times New Roman"/>
                <w:szCs w:val="24"/>
              </w:rPr>
              <w:t>(</w:t>
            </w:r>
            <w:r w:rsidRPr="009B4F50">
              <w:rPr>
                <w:rFonts w:ascii="Times New Roman" w:eastAsiaTheme="majorEastAsia" w:hAnsi="Times New Roman" w:cs="Times New Roman"/>
                <w:szCs w:val="24"/>
              </w:rPr>
              <w:t>綜合</w:t>
            </w:r>
            <w:r w:rsidRPr="009B4F50">
              <w:rPr>
                <w:rFonts w:ascii="Times New Roman" w:eastAsiaTheme="majorEastAsia" w:hAnsi="Times New Roman" w:cs="Times New Roman"/>
                <w:szCs w:val="24"/>
              </w:rPr>
              <w:t>)</w:t>
            </w:r>
            <w:r w:rsidRPr="009B4F50">
              <w:rPr>
                <w:rFonts w:ascii="Times New Roman" w:eastAsiaTheme="majorEastAsia" w:hAnsi="Times New Roman" w:cs="Times New Roman"/>
                <w:szCs w:val="24"/>
              </w:rPr>
              <w:t>條例</w:t>
            </w:r>
            <w:r w:rsidRPr="009B4F50">
              <w:rPr>
                <w:rFonts w:ascii="Times New Roman" w:eastAsiaTheme="majorEastAsia" w:hAnsi="Times New Roman" w:cs="Times New Roman"/>
                <w:szCs w:val="24"/>
              </w:rPr>
              <w:t>»</w:t>
            </w:r>
            <w:r w:rsidRPr="009B4F50">
              <w:rPr>
                <w:rFonts w:ascii="Times New Roman" w:eastAsiaTheme="majorEastAsia" w:hAnsi="Times New Roman" w:cs="Times New Roman"/>
                <w:szCs w:val="24"/>
              </w:rPr>
              <w:t>作為一切租約必須依從的根本條例，扭轉業主與租客地位失衡的情況</w:t>
            </w:r>
          </w:p>
        </w:tc>
      </w:tr>
      <w:tr w:rsidR="00204571" w:rsidRPr="009B4F50" w:rsidTr="00C92648">
        <w:tc>
          <w:tcPr>
            <w:tcW w:w="1838" w:type="dxa"/>
            <w:shd w:val="clear" w:color="auto" w:fill="D9D9D9" w:themeFill="background1" w:themeFillShade="D9"/>
          </w:tcPr>
          <w:p w:rsidR="00204571" w:rsidRPr="009B4F50" w:rsidRDefault="00204571" w:rsidP="00DA3496">
            <w:pPr>
              <w:jc w:val="both"/>
              <w:rPr>
                <w:rFonts w:ascii="Times New Roman" w:eastAsiaTheme="majorEastAsia" w:hAnsi="Times New Roman" w:cs="Times New Roman"/>
                <w:b/>
                <w:szCs w:val="24"/>
              </w:rPr>
            </w:pPr>
            <w:r w:rsidRPr="009B4F50">
              <w:rPr>
                <w:rFonts w:ascii="Times New Roman" w:eastAsiaTheme="majorEastAsia" w:hAnsi="Times New Roman" w:cs="Times New Roman"/>
                <w:b/>
                <w:szCs w:val="24"/>
              </w:rPr>
              <w:t>過渡性房屋</w:t>
            </w:r>
          </w:p>
        </w:tc>
        <w:tc>
          <w:tcPr>
            <w:tcW w:w="7234" w:type="dxa"/>
          </w:tcPr>
          <w:p w:rsidR="00204571" w:rsidRPr="009B4F50" w:rsidRDefault="00204571" w:rsidP="00204571">
            <w:pPr>
              <w:pStyle w:val="ListParagraph"/>
              <w:numPr>
                <w:ilvl w:val="0"/>
                <w:numId w:val="10"/>
              </w:numPr>
              <w:ind w:leftChars="0"/>
              <w:jc w:val="both"/>
              <w:rPr>
                <w:rFonts w:ascii="Times New Roman" w:eastAsiaTheme="majorEastAsia" w:hAnsi="Times New Roman" w:cs="Times New Roman"/>
                <w:szCs w:val="24"/>
              </w:rPr>
            </w:pPr>
            <w:r w:rsidRPr="009B4F50">
              <w:rPr>
                <w:rFonts w:ascii="Times New Roman" w:eastAsiaTheme="majorEastAsia" w:hAnsi="Times New Roman" w:cs="Times New Roman"/>
                <w:szCs w:val="24"/>
              </w:rPr>
              <w:t>提供過渡性房屋</w:t>
            </w:r>
            <w:r w:rsidRPr="009B4F50">
              <w:rPr>
                <w:rFonts w:ascii="Times New Roman" w:eastAsiaTheme="majorEastAsia" w:hAnsi="Times New Roman" w:cs="Times New Roman"/>
                <w:szCs w:val="24"/>
              </w:rPr>
              <w:t>(</w:t>
            </w:r>
            <w:r w:rsidRPr="009B4F50">
              <w:rPr>
                <w:rFonts w:ascii="Times New Roman" w:eastAsiaTheme="majorEastAsia" w:hAnsi="Times New Roman" w:cs="Times New Roman"/>
                <w:szCs w:val="24"/>
              </w:rPr>
              <w:t>宿舍、工廈改建</w:t>
            </w:r>
            <w:r w:rsidRPr="009B4F50">
              <w:rPr>
                <w:rFonts w:ascii="Times New Roman" w:eastAsiaTheme="majorEastAsia" w:hAnsi="Times New Roman" w:cs="Times New Roman"/>
                <w:szCs w:val="24"/>
              </w:rPr>
              <w:t>)</w:t>
            </w:r>
            <w:r w:rsidRPr="009B4F50">
              <w:rPr>
                <w:rFonts w:ascii="Times New Roman" w:eastAsiaTheme="majorEastAsia" w:hAnsi="Times New Roman" w:cs="Times New Roman"/>
                <w:szCs w:val="24"/>
              </w:rPr>
              <w:t>作中短期補救措施</w:t>
            </w:r>
          </w:p>
        </w:tc>
      </w:tr>
    </w:tbl>
    <w:p w:rsidR="00D27967" w:rsidRDefault="00D27967" w:rsidP="00016B1A">
      <w:pPr>
        <w:spacing w:line="240" w:lineRule="atLeast"/>
        <w:ind w:leftChars="118" w:left="283"/>
        <w:jc w:val="right"/>
        <w:rPr>
          <w:rFonts w:ascii="Times New Roman" w:hAnsi="Times New Roman" w:cs="Times New Roman"/>
        </w:rPr>
      </w:pPr>
    </w:p>
    <w:p w:rsidR="00B563D8" w:rsidRPr="009B4F50" w:rsidRDefault="00CA2CB4" w:rsidP="00016B1A">
      <w:pPr>
        <w:spacing w:line="240" w:lineRule="atLeast"/>
        <w:ind w:leftChars="118" w:left="283"/>
        <w:jc w:val="right"/>
        <w:rPr>
          <w:rFonts w:ascii="Times New Roman" w:hAnsi="Times New Roman" w:cs="Times New Roman"/>
        </w:rPr>
      </w:pPr>
      <w:r w:rsidRPr="009B4F50">
        <w:rPr>
          <w:rFonts w:ascii="Times New Roman" w:hAnsi="Times New Roman" w:cs="Times New Roman"/>
        </w:rPr>
        <w:t xml:space="preserve">      </w:t>
      </w:r>
      <w:r w:rsidR="005C678B" w:rsidRPr="009B4F50">
        <w:rPr>
          <w:rFonts w:ascii="Times New Roman" w:hAnsi="Times New Roman" w:cs="Times New Roman"/>
        </w:rPr>
        <w:t xml:space="preserve">                     </w:t>
      </w:r>
      <w:r w:rsidR="00E27329" w:rsidRPr="009B4F50">
        <w:rPr>
          <w:rFonts w:ascii="Times New Roman" w:hAnsi="Times New Roman" w:cs="Times New Roman"/>
          <w:b/>
        </w:rPr>
        <w:t>香港社區組織協會</w:t>
      </w:r>
    </w:p>
    <w:p w:rsidR="00217F8B" w:rsidRPr="009B4F50" w:rsidRDefault="00AE613A" w:rsidP="009B4F50">
      <w:pPr>
        <w:spacing w:line="0" w:lineRule="atLeast"/>
        <w:ind w:right="480"/>
        <w:rPr>
          <w:rFonts w:ascii="Times New Roman" w:hAnsi="Times New Roman" w:cs="Times New Roman"/>
          <w:b/>
        </w:rPr>
      </w:pPr>
      <w:r w:rsidRPr="009B4F50">
        <w:rPr>
          <w:rFonts w:ascii="Times New Roman" w:hAnsi="Times New Roman" w:cs="Times New Roman"/>
          <w:b/>
        </w:rPr>
        <w:t>2</w:t>
      </w:r>
      <w:r w:rsidR="00016B1A" w:rsidRPr="009B4F50">
        <w:rPr>
          <w:rFonts w:ascii="Times New Roman" w:hAnsi="Times New Roman" w:cs="Times New Roman"/>
          <w:b/>
        </w:rPr>
        <w:t>015</w:t>
      </w:r>
      <w:r w:rsidR="00016B1A" w:rsidRPr="009B4F50">
        <w:rPr>
          <w:rFonts w:ascii="Times New Roman" w:hAnsi="Times New Roman" w:cs="Times New Roman"/>
          <w:b/>
        </w:rPr>
        <w:t>年</w:t>
      </w:r>
      <w:r w:rsidR="00016B1A" w:rsidRPr="009B4F50">
        <w:rPr>
          <w:rFonts w:ascii="Times New Roman" w:hAnsi="Times New Roman" w:cs="Times New Roman"/>
          <w:b/>
        </w:rPr>
        <w:t>10</w:t>
      </w:r>
      <w:r w:rsidR="00016B1A" w:rsidRPr="009B4F50">
        <w:rPr>
          <w:rFonts w:ascii="Times New Roman" w:hAnsi="Times New Roman" w:cs="Times New Roman"/>
          <w:b/>
        </w:rPr>
        <w:t>月</w:t>
      </w:r>
      <w:r w:rsidR="00016B1A" w:rsidRPr="009B4F50">
        <w:rPr>
          <w:rFonts w:ascii="Times New Roman" w:hAnsi="Times New Roman" w:cs="Times New Roman"/>
          <w:b/>
        </w:rPr>
        <w:t>27</w:t>
      </w:r>
      <w:r w:rsidR="00016B1A" w:rsidRPr="009B4F50">
        <w:rPr>
          <w:rFonts w:ascii="Times New Roman" w:hAnsi="Times New Roman" w:cs="Times New Roman"/>
          <w:b/>
        </w:rPr>
        <w:t>日</w:t>
      </w:r>
    </w:p>
    <w:sectPr w:rsidR="00217F8B" w:rsidRPr="009B4F50" w:rsidSect="00D956D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99B" w:rsidRDefault="00A0799B" w:rsidP="005E342B">
      <w:r>
        <w:separator/>
      </w:r>
    </w:p>
  </w:endnote>
  <w:endnote w:type="continuationSeparator" w:id="0">
    <w:p w:rsidR="00A0799B" w:rsidRDefault="00A0799B" w:rsidP="005E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FMing-Lt">
    <w:altName w:val="細明體"/>
    <w:panose1 w:val="00000000000000000000"/>
    <w:charset w:val="88"/>
    <w:family w:val="moder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99B" w:rsidRDefault="00A0799B" w:rsidP="005E342B">
      <w:r>
        <w:separator/>
      </w:r>
    </w:p>
  </w:footnote>
  <w:footnote w:type="continuationSeparator" w:id="0">
    <w:p w:rsidR="00A0799B" w:rsidRDefault="00A0799B" w:rsidP="005E342B">
      <w:r>
        <w:continuationSeparator/>
      </w:r>
    </w:p>
  </w:footnote>
  <w:footnote w:id="1">
    <w:p w:rsidR="00AE613A" w:rsidRPr="00AA0625" w:rsidRDefault="00AE613A" w:rsidP="0040046D">
      <w:pPr>
        <w:pStyle w:val="FootnoteText"/>
      </w:pPr>
      <w:r>
        <w:rPr>
          <w:rStyle w:val="FootnoteReference"/>
        </w:rPr>
        <w:footnoteRef/>
      </w:r>
      <w:r>
        <w:t xml:space="preserve"> </w:t>
      </w:r>
      <w:r>
        <w:rPr>
          <w:rFonts w:hint="eastAsia"/>
        </w:rPr>
        <w:t>但不包括申請期間曾凍結的時段，例如申請者尚未符合居港年期規定、申請者在獄中服刑，或正等待家庭成員來港團聚而要求凍結申請等。</w:t>
      </w:r>
    </w:p>
  </w:footnote>
  <w:footnote w:id="2">
    <w:p w:rsidR="00AE613A" w:rsidRDefault="00AE613A" w:rsidP="00F717E3">
      <w:pPr>
        <w:pStyle w:val="FootnoteText"/>
      </w:pPr>
      <w:r>
        <w:rPr>
          <w:rStyle w:val="FootnoteReference"/>
        </w:rPr>
        <w:footnoteRef/>
      </w:r>
      <w:r>
        <w:t xml:space="preserve"> </w:t>
      </w:r>
      <w:r w:rsidR="00A73EE1">
        <w:rPr>
          <w:rFonts w:hint="eastAsia"/>
        </w:rPr>
        <w:t>以</w:t>
      </w:r>
      <w:r w:rsidR="00A73EE1">
        <w:rPr>
          <w:rFonts w:hint="eastAsia"/>
        </w:rPr>
        <w:t>4</w:t>
      </w:r>
      <w:r w:rsidR="00A73EE1">
        <w:rPr>
          <w:rFonts w:hint="eastAsia"/>
        </w:rPr>
        <w:t>人家庭為例，</w:t>
      </w:r>
      <w:r>
        <w:rPr>
          <w:rFonts w:hint="eastAsia"/>
        </w:rPr>
        <w:t>截止</w:t>
      </w:r>
      <w:r>
        <w:rPr>
          <w:rFonts w:hint="eastAsia"/>
        </w:rPr>
        <w:t>2011</w:t>
      </w:r>
      <w:r>
        <w:rPr>
          <w:rFonts w:hint="eastAsia"/>
        </w:rPr>
        <w:t>年</w:t>
      </w:r>
      <w:r>
        <w:rPr>
          <w:rFonts w:hint="eastAsia"/>
        </w:rPr>
        <w:t>6</w:t>
      </w:r>
      <w:r>
        <w:rPr>
          <w:rFonts w:hint="eastAsia"/>
        </w:rPr>
        <w:t>月底為止輪候冊上輪候時間為三年或以上而未獲編配機會的</w:t>
      </w:r>
      <w:r>
        <w:rPr>
          <w:rFonts w:hint="eastAsia"/>
        </w:rPr>
        <w:t>4</w:t>
      </w:r>
      <w:r>
        <w:rPr>
          <w:rFonts w:hint="eastAsia"/>
        </w:rPr>
        <w:t>人家庭有</w:t>
      </w:r>
      <w:r>
        <w:rPr>
          <w:rFonts w:hint="eastAsia"/>
        </w:rPr>
        <w:t>4,100</w:t>
      </w:r>
      <w:r>
        <w:rPr>
          <w:rFonts w:hint="eastAsia"/>
        </w:rPr>
        <w:t>宗，但截止</w:t>
      </w:r>
      <w:r>
        <w:rPr>
          <w:rFonts w:hint="eastAsia"/>
        </w:rPr>
        <w:t>2012</w:t>
      </w:r>
      <w:r>
        <w:rPr>
          <w:rFonts w:hint="eastAsia"/>
        </w:rPr>
        <w:t>年</w:t>
      </w:r>
      <w:r>
        <w:rPr>
          <w:rFonts w:hint="eastAsia"/>
        </w:rPr>
        <w:t>6</w:t>
      </w:r>
      <w:r>
        <w:rPr>
          <w:rFonts w:hint="eastAsia"/>
        </w:rPr>
        <w:t>月底為止，已達</w:t>
      </w:r>
      <w:r>
        <w:rPr>
          <w:rFonts w:hint="eastAsia"/>
        </w:rPr>
        <w:t>6,600</w:t>
      </w:r>
      <w:r>
        <w:rPr>
          <w:rFonts w:hint="eastAsia"/>
        </w:rPr>
        <w:t>宗。去到</w:t>
      </w:r>
      <w:r>
        <w:rPr>
          <w:rFonts w:hint="eastAsia"/>
        </w:rPr>
        <w:t>2013</w:t>
      </w:r>
      <w:r>
        <w:rPr>
          <w:rFonts w:hint="eastAsia"/>
        </w:rPr>
        <w:t>年</w:t>
      </w:r>
      <w:r>
        <w:rPr>
          <w:rFonts w:hint="eastAsia"/>
        </w:rPr>
        <w:t>6</w:t>
      </w:r>
      <w:r>
        <w:rPr>
          <w:rFonts w:hint="eastAsia"/>
        </w:rPr>
        <w:t>月底，則達到</w:t>
      </w:r>
      <w:r>
        <w:rPr>
          <w:rFonts w:hint="eastAsia"/>
        </w:rPr>
        <w:t>8</w:t>
      </w:r>
      <w:proofErr w:type="gramStart"/>
      <w:r>
        <w:rPr>
          <w:rFonts w:hint="eastAsia"/>
        </w:rPr>
        <w:t>,300</w:t>
      </w:r>
      <w:r w:rsidR="00A73EE1">
        <w:rPr>
          <w:rFonts w:hint="eastAsia"/>
        </w:rPr>
        <w:t>宗</w:t>
      </w:r>
      <w:proofErr w:type="gramEnd"/>
      <w:r w:rsidR="00A73EE1">
        <w:rPr>
          <w:rFonts w:hint="eastAsia"/>
        </w:rPr>
        <w:t>。至到</w:t>
      </w:r>
      <w:r w:rsidR="00A73EE1">
        <w:rPr>
          <w:rFonts w:hint="eastAsia"/>
        </w:rPr>
        <w:t>2014</w:t>
      </w:r>
      <w:r w:rsidR="00A73EE1">
        <w:rPr>
          <w:rFonts w:hint="eastAsia"/>
        </w:rPr>
        <w:t>年</w:t>
      </w:r>
      <w:r w:rsidR="00A73EE1">
        <w:rPr>
          <w:rFonts w:hint="eastAsia"/>
        </w:rPr>
        <w:t>6</w:t>
      </w:r>
      <w:r w:rsidR="00A73EE1">
        <w:rPr>
          <w:rFonts w:hint="eastAsia"/>
        </w:rPr>
        <w:t>月底，則已升至</w:t>
      </w:r>
      <w:r w:rsidR="00A73EE1">
        <w:rPr>
          <w:rFonts w:hint="eastAsia"/>
        </w:rPr>
        <w:t>10,800</w:t>
      </w:r>
      <w:r w:rsidR="00A73EE1">
        <w:rPr>
          <w:rFonts w:hint="eastAsia"/>
        </w:rPr>
        <w:t>宗，數字</w:t>
      </w:r>
      <w:r>
        <w:rPr>
          <w:rFonts w:hint="eastAsia"/>
        </w:rPr>
        <w:t>明顯</w:t>
      </w:r>
      <w:r w:rsidR="00A73EE1">
        <w:rPr>
          <w:rFonts w:hint="eastAsia"/>
        </w:rPr>
        <w:t>呈</w:t>
      </w:r>
      <w:r>
        <w:rPr>
          <w:rFonts w:hint="eastAsia"/>
        </w:rPr>
        <w:t>上升趨勢。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E1835"/>
    <w:multiLevelType w:val="hybridMultilevel"/>
    <w:tmpl w:val="5D029820"/>
    <w:lvl w:ilvl="0" w:tplc="7004AB60">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8E7CC2"/>
    <w:multiLevelType w:val="hybridMultilevel"/>
    <w:tmpl w:val="C360E9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5B3345B"/>
    <w:multiLevelType w:val="hybridMultilevel"/>
    <w:tmpl w:val="40045924"/>
    <w:lvl w:ilvl="0" w:tplc="6F7C47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311D42"/>
    <w:multiLevelType w:val="hybridMultilevel"/>
    <w:tmpl w:val="552CD1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96B4616"/>
    <w:multiLevelType w:val="hybridMultilevel"/>
    <w:tmpl w:val="A75CEAFE"/>
    <w:lvl w:ilvl="0" w:tplc="AC30347A">
      <w:start w:val="1"/>
      <w:numFmt w:val="decimal"/>
      <w:lvlText w:val="%1."/>
      <w:lvlJc w:val="left"/>
      <w:pPr>
        <w:tabs>
          <w:tab w:val="num" w:pos="360"/>
        </w:tabs>
        <w:ind w:left="360" w:hanging="36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EF6320"/>
    <w:multiLevelType w:val="hybridMultilevel"/>
    <w:tmpl w:val="0F0CC0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4265E04"/>
    <w:multiLevelType w:val="hybridMultilevel"/>
    <w:tmpl w:val="2BFA820C"/>
    <w:lvl w:ilvl="0" w:tplc="4B8003C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B33408E"/>
    <w:multiLevelType w:val="hybridMultilevel"/>
    <w:tmpl w:val="3F4A5B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00C4429"/>
    <w:multiLevelType w:val="hybridMultilevel"/>
    <w:tmpl w:val="417800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97715D3"/>
    <w:multiLevelType w:val="hybridMultilevel"/>
    <w:tmpl w:val="D6A2BF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9125A36"/>
    <w:multiLevelType w:val="hybridMultilevel"/>
    <w:tmpl w:val="CC6019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84330A9"/>
    <w:multiLevelType w:val="hybridMultilevel"/>
    <w:tmpl w:val="0082CC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6EA4684"/>
    <w:multiLevelType w:val="hybridMultilevel"/>
    <w:tmpl w:val="D73E1C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6"/>
  </w:num>
  <w:num w:numId="3">
    <w:abstractNumId w:val="9"/>
  </w:num>
  <w:num w:numId="4">
    <w:abstractNumId w:val="7"/>
  </w:num>
  <w:num w:numId="5">
    <w:abstractNumId w:val="12"/>
  </w:num>
  <w:num w:numId="6">
    <w:abstractNumId w:val="5"/>
  </w:num>
  <w:num w:numId="7">
    <w:abstractNumId w:val="8"/>
  </w:num>
  <w:num w:numId="8">
    <w:abstractNumId w:val="11"/>
  </w:num>
  <w:num w:numId="9">
    <w:abstractNumId w:val="3"/>
  </w:num>
  <w:num w:numId="10">
    <w:abstractNumId w:val="10"/>
  </w:num>
  <w:num w:numId="11">
    <w:abstractNumId w:val="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D48"/>
    <w:rsid w:val="000152B8"/>
    <w:rsid w:val="0001660A"/>
    <w:rsid w:val="00016B1A"/>
    <w:rsid w:val="0001730C"/>
    <w:rsid w:val="00020EA6"/>
    <w:rsid w:val="0002474F"/>
    <w:rsid w:val="00036BD7"/>
    <w:rsid w:val="00042A34"/>
    <w:rsid w:val="0005117A"/>
    <w:rsid w:val="00054E81"/>
    <w:rsid w:val="00061D63"/>
    <w:rsid w:val="000645B9"/>
    <w:rsid w:val="000842C4"/>
    <w:rsid w:val="00085C33"/>
    <w:rsid w:val="00093DEB"/>
    <w:rsid w:val="0009453D"/>
    <w:rsid w:val="00097086"/>
    <w:rsid w:val="000A0639"/>
    <w:rsid w:val="000B69D9"/>
    <w:rsid w:val="000B77C3"/>
    <w:rsid w:val="000C0D3A"/>
    <w:rsid w:val="000D78AB"/>
    <w:rsid w:val="000F00D7"/>
    <w:rsid w:val="0010118A"/>
    <w:rsid w:val="001065A0"/>
    <w:rsid w:val="001069DF"/>
    <w:rsid w:val="00112400"/>
    <w:rsid w:val="00125C79"/>
    <w:rsid w:val="001402C0"/>
    <w:rsid w:val="0014054E"/>
    <w:rsid w:val="001431C1"/>
    <w:rsid w:val="00155358"/>
    <w:rsid w:val="00155CCA"/>
    <w:rsid w:val="00167368"/>
    <w:rsid w:val="00185FB9"/>
    <w:rsid w:val="001A0615"/>
    <w:rsid w:val="001A2BB8"/>
    <w:rsid w:val="001A2D48"/>
    <w:rsid w:val="001C620D"/>
    <w:rsid w:val="001E1B4F"/>
    <w:rsid w:val="00204571"/>
    <w:rsid w:val="00204BE0"/>
    <w:rsid w:val="00206ABF"/>
    <w:rsid w:val="00217F8B"/>
    <w:rsid w:val="00220696"/>
    <w:rsid w:val="0023202B"/>
    <w:rsid w:val="00244C76"/>
    <w:rsid w:val="002470CB"/>
    <w:rsid w:val="00254E61"/>
    <w:rsid w:val="00255CEB"/>
    <w:rsid w:val="002631D4"/>
    <w:rsid w:val="002744AD"/>
    <w:rsid w:val="00276C08"/>
    <w:rsid w:val="00286E14"/>
    <w:rsid w:val="0029130F"/>
    <w:rsid w:val="002922B2"/>
    <w:rsid w:val="002952AC"/>
    <w:rsid w:val="002D1292"/>
    <w:rsid w:val="002D763E"/>
    <w:rsid w:val="002E1A97"/>
    <w:rsid w:val="002E647F"/>
    <w:rsid w:val="002F0734"/>
    <w:rsid w:val="0030061D"/>
    <w:rsid w:val="003011B3"/>
    <w:rsid w:val="0030630B"/>
    <w:rsid w:val="00310430"/>
    <w:rsid w:val="0032275B"/>
    <w:rsid w:val="003311F7"/>
    <w:rsid w:val="00334548"/>
    <w:rsid w:val="003439FF"/>
    <w:rsid w:val="00344A4E"/>
    <w:rsid w:val="0034641E"/>
    <w:rsid w:val="00347748"/>
    <w:rsid w:val="00353B08"/>
    <w:rsid w:val="003818B4"/>
    <w:rsid w:val="00393B96"/>
    <w:rsid w:val="00394F18"/>
    <w:rsid w:val="003A3305"/>
    <w:rsid w:val="003C1041"/>
    <w:rsid w:val="003D128D"/>
    <w:rsid w:val="003F251F"/>
    <w:rsid w:val="0040046D"/>
    <w:rsid w:val="004314D0"/>
    <w:rsid w:val="00435C85"/>
    <w:rsid w:val="004408B0"/>
    <w:rsid w:val="00443CD6"/>
    <w:rsid w:val="004446F2"/>
    <w:rsid w:val="00464CB6"/>
    <w:rsid w:val="004725F3"/>
    <w:rsid w:val="004753BC"/>
    <w:rsid w:val="004B3F5C"/>
    <w:rsid w:val="004B78C8"/>
    <w:rsid w:val="004C6880"/>
    <w:rsid w:val="004E4D47"/>
    <w:rsid w:val="004F06B0"/>
    <w:rsid w:val="004F386F"/>
    <w:rsid w:val="004F6C76"/>
    <w:rsid w:val="005048FA"/>
    <w:rsid w:val="00512342"/>
    <w:rsid w:val="00561A14"/>
    <w:rsid w:val="00562BC8"/>
    <w:rsid w:val="00571EB2"/>
    <w:rsid w:val="005723EC"/>
    <w:rsid w:val="0058208B"/>
    <w:rsid w:val="00582673"/>
    <w:rsid w:val="0058753A"/>
    <w:rsid w:val="005A0A81"/>
    <w:rsid w:val="005A25A0"/>
    <w:rsid w:val="005B432B"/>
    <w:rsid w:val="005C2069"/>
    <w:rsid w:val="005C373B"/>
    <w:rsid w:val="005C678B"/>
    <w:rsid w:val="005D339A"/>
    <w:rsid w:val="005D6DC2"/>
    <w:rsid w:val="005E342B"/>
    <w:rsid w:val="006002CB"/>
    <w:rsid w:val="00601203"/>
    <w:rsid w:val="00613166"/>
    <w:rsid w:val="006241FB"/>
    <w:rsid w:val="006261B5"/>
    <w:rsid w:val="00630A9B"/>
    <w:rsid w:val="00650F05"/>
    <w:rsid w:val="006556CD"/>
    <w:rsid w:val="00655E38"/>
    <w:rsid w:val="006575F9"/>
    <w:rsid w:val="006614AF"/>
    <w:rsid w:val="00677690"/>
    <w:rsid w:val="00681148"/>
    <w:rsid w:val="0068145C"/>
    <w:rsid w:val="006A3F42"/>
    <w:rsid w:val="006C5EB4"/>
    <w:rsid w:val="0070120D"/>
    <w:rsid w:val="00703C92"/>
    <w:rsid w:val="0071199F"/>
    <w:rsid w:val="0071242D"/>
    <w:rsid w:val="00713A14"/>
    <w:rsid w:val="00723D67"/>
    <w:rsid w:val="007255CC"/>
    <w:rsid w:val="00725B23"/>
    <w:rsid w:val="0073319C"/>
    <w:rsid w:val="00733D53"/>
    <w:rsid w:val="00736B0C"/>
    <w:rsid w:val="00751428"/>
    <w:rsid w:val="0076134C"/>
    <w:rsid w:val="00763BD2"/>
    <w:rsid w:val="007662EE"/>
    <w:rsid w:val="00771405"/>
    <w:rsid w:val="007733BD"/>
    <w:rsid w:val="0078290D"/>
    <w:rsid w:val="00787FB3"/>
    <w:rsid w:val="007958AA"/>
    <w:rsid w:val="007A4ACF"/>
    <w:rsid w:val="007B47E7"/>
    <w:rsid w:val="007D5DA7"/>
    <w:rsid w:val="007D7E38"/>
    <w:rsid w:val="007E2C87"/>
    <w:rsid w:val="007F172F"/>
    <w:rsid w:val="007F7B3B"/>
    <w:rsid w:val="0080229E"/>
    <w:rsid w:val="00817D0E"/>
    <w:rsid w:val="008215C4"/>
    <w:rsid w:val="00825CEA"/>
    <w:rsid w:val="00835465"/>
    <w:rsid w:val="00840054"/>
    <w:rsid w:val="0084177B"/>
    <w:rsid w:val="008501A9"/>
    <w:rsid w:val="00850C75"/>
    <w:rsid w:val="00852F05"/>
    <w:rsid w:val="00872712"/>
    <w:rsid w:val="00875F74"/>
    <w:rsid w:val="0088535D"/>
    <w:rsid w:val="00887BE9"/>
    <w:rsid w:val="00891203"/>
    <w:rsid w:val="008A387C"/>
    <w:rsid w:val="008A597E"/>
    <w:rsid w:val="008C2C73"/>
    <w:rsid w:val="008C4B82"/>
    <w:rsid w:val="008E1D9C"/>
    <w:rsid w:val="008E5CF7"/>
    <w:rsid w:val="008F2314"/>
    <w:rsid w:val="008F3909"/>
    <w:rsid w:val="009062AB"/>
    <w:rsid w:val="00922F0D"/>
    <w:rsid w:val="00930B14"/>
    <w:rsid w:val="00932ACE"/>
    <w:rsid w:val="0093468A"/>
    <w:rsid w:val="00937BC0"/>
    <w:rsid w:val="0095000A"/>
    <w:rsid w:val="00950F03"/>
    <w:rsid w:val="00955F23"/>
    <w:rsid w:val="00960FD5"/>
    <w:rsid w:val="0096321B"/>
    <w:rsid w:val="009700C1"/>
    <w:rsid w:val="00973BBC"/>
    <w:rsid w:val="0097524B"/>
    <w:rsid w:val="0098063D"/>
    <w:rsid w:val="009842F5"/>
    <w:rsid w:val="0099242D"/>
    <w:rsid w:val="009B4F50"/>
    <w:rsid w:val="009C203A"/>
    <w:rsid w:val="009C3787"/>
    <w:rsid w:val="009D4680"/>
    <w:rsid w:val="009D5FCA"/>
    <w:rsid w:val="009E2178"/>
    <w:rsid w:val="009F78FA"/>
    <w:rsid w:val="00A0799B"/>
    <w:rsid w:val="00A11CEE"/>
    <w:rsid w:val="00A120C7"/>
    <w:rsid w:val="00A14A28"/>
    <w:rsid w:val="00A14FB0"/>
    <w:rsid w:val="00A2093A"/>
    <w:rsid w:val="00A22A46"/>
    <w:rsid w:val="00A268B2"/>
    <w:rsid w:val="00A27D64"/>
    <w:rsid w:val="00A437F3"/>
    <w:rsid w:val="00A56256"/>
    <w:rsid w:val="00A57B5C"/>
    <w:rsid w:val="00A73EE1"/>
    <w:rsid w:val="00A832F8"/>
    <w:rsid w:val="00A840CE"/>
    <w:rsid w:val="00A84E4D"/>
    <w:rsid w:val="00AB28FC"/>
    <w:rsid w:val="00AB63C1"/>
    <w:rsid w:val="00AC63B0"/>
    <w:rsid w:val="00AD10CC"/>
    <w:rsid w:val="00AD7F90"/>
    <w:rsid w:val="00AE613A"/>
    <w:rsid w:val="00AE6DA3"/>
    <w:rsid w:val="00AF24A7"/>
    <w:rsid w:val="00B0654B"/>
    <w:rsid w:val="00B34E34"/>
    <w:rsid w:val="00B421A2"/>
    <w:rsid w:val="00B525B6"/>
    <w:rsid w:val="00B52988"/>
    <w:rsid w:val="00B55695"/>
    <w:rsid w:val="00B563D8"/>
    <w:rsid w:val="00B564EA"/>
    <w:rsid w:val="00B713E3"/>
    <w:rsid w:val="00B71F79"/>
    <w:rsid w:val="00B72EAC"/>
    <w:rsid w:val="00B77609"/>
    <w:rsid w:val="00B83568"/>
    <w:rsid w:val="00B84409"/>
    <w:rsid w:val="00BA0B1F"/>
    <w:rsid w:val="00BA5A7D"/>
    <w:rsid w:val="00BB0EF0"/>
    <w:rsid w:val="00BB45D1"/>
    <w:rsid w:val="00BB6467"/>
    <w:rsid w:val="00BC0304"/>
    <w:rsid w:val="00BC5C8A"/>
    <w:rsid w:val="00BC7174"/>
    <w:rsid w:val="00BD3FF8"/>
    <w:rsid w:val="00BD7733"/>
    <w:rsid w:val="00BF1C55"/>
    <w:rsid w:val="00BF1FC5"/>
    <w:rsid w:val="00BF7207"/>
    <w:rsid w:val="00C048AA"/>
    <w:rsid w:val="00C04E06"/>
    <w:rsid w:val="00C0546B"/>
    <w:rsid w:val="00C05A55"/>
    <w:rsid w:val="00C12DA6"/>
    <w:rsid w:val="00C31C76"/>
    <w:rsid w:val="00C338FC"/>
    <w:rsid w:val="00C415F8"/>
    <w:rsid w:val="00C46398"/>
    <w:rsid w:val="00C524F8"/>
    <w:rsid w:val="00C54646"/>
    <w:rsid w:val="00C67D81"/>
    <w:rsid w:val="00C7227C"/>
    <w:rsid w:val="00C920D7"/>
    <w:rsid w:val="00C9252D"/>
    <w:rsid w:val="00C92648"/>
    <w:rsid w:val="00C979C9"/>
    <w:rsid w:val="00CA2CB4"/>
    <w:rsid w:val="00CA44DA"/>
    <w:rsid w:val="00CB2F08"/>
    <w:rsid w:val="00CB44AA"/>
    <w:rsid w:val="00CC3F61"/>
    <w:rsid w:val="00CD5028"/>
    <w:rsid w:val="00CD69A7"/>
    <w:rsid w:val="00CE4067"/>
    <w:rsid w:val="00CF5CE9"/>
    <w:rsid w:val="00D065B4"/>
    <w:rsid w:val="00D215D0"/>
    <w:rsid w:val="00D242DE"/>
    <w:rsid w:val="00D27967"/>
    <w:rsid w:val="00D3101D"/>
    <w:rsid w:val="00D33ABE"/>
    <w:rsid w:val="00D373F5"/>
    <w:rsid w:val="00D426CA"/>
    <w:rsid w:val="00D50849"/>
    <w:rsid w:val="00D553D5"/>
    <w:rsid w:val="00D61D13"/>
    <w:rsid w:val="00D74819"/>
    <w:rsid w:val="00D82004"/>
    <w:rsid w:val="00D956D2"/>
    <w:rsid w:val="00D95C44"/>
    <w:rsid w:val="00DB60F3"/>
    <w:rsid w:val="00DB7CA3"/>
    <w:rsid w:val="00DC43C0"/>
    <w:rsid w:val="00DE1FA6"/>
    <w:rsid w:val="00DE4441"/>
    <w:rsid w:val="00DE7777"/>
    <w:rsid w:val="00E045F0"/>
    <w:rsid w:val="00E13EF9"/>
    <w:rsid w:val="00E140B8"/>
    <w:rsid w:val="00E1461F"/>
    <w:rsid w:val="00E25326"/>
    <w:rsid w:val="00E27329"/>
    <w:rsid w:val="00E356D2"/>
    <w:rsid w:val="00E369FC"/>
    <w:rsid w:val="00E41662"/>
    <w:rsid w:val="00E55BD3"/>
    <w:rsid w:val="00E64CD5"/>
    <w:rsid w:val="00E674E6"/>
    <w:rsid w:val="00E74FB3"/>
    <w:rsid w:val="00E87AC1"/>
    <w:rsid w:val="00E95F23"/>
    <w:rsid w:val="00EB0D73"/>
    <w:rsid w:val="00EC40F3"/>
    <w:rsid w:val="00ED59D7"/>
    <w:rsid w:val="00EE06D7"/>
    <w:rsid w:val="00EE4967"/>
    <w:rsid w:val="00F07FE2"/>
    <w:rsid w:val="00F1270F"/>
    <w:rsid w:val="00F2350C"/>
    <w:rsid w:val="00F5166F"/>
    <w:rsid w:val="00F55CD9"/>
    <w:rsid w:val="00F61D44"/>
    <w:rsid w:val="00F703E4"/>
    <w:rsid w:val="00F711BB"/>
    <w:rsid w:val="00F717E3"/>
    <w:rsid w:val="00F8282A"/>
    <w:rsid w:val="00F86281"/>
    <w:rsid w:val="00F9290A"/>
    <w:rsid w:val="00FA08D2"/>
    <w:rsid w:val="00FA716B"/>
    <w:rsid w:val="00FA7183"/>
    <w:rsid w:val="00FB769D"/>
    <w:rsid w:val="00FD6060"/>
    <w:rsid w:val="00FE2CD8"/>
    <w:rsid w:val="00FE5439"/>
    <w:rsid w:val="00FE65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2F9CF8-F516-42DA-B253-879D354E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4A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內文1"/>
    <w:qFormat/>
    <w:rsid w:val="00CB44AA"/>
    <w:rPr>
      <w:rFonts w:ascii="Times New Roman" w:eastAsia="新細明體" w:hAnsi="Times New Roman" w:cs="Times New Roman"/>
      <w:kern w:val="0"/>
      <w:szCs w:val="20"/>
    </w:rPr>
  </w:style>
  <w:style w:type="paragraph" w:customStyle="1" w:styleId="10">
    <w:name w:val="清單段落1"/>
    <w:basedOn w:val="1"/>
    <w:qFormat/>
    <w:rsid w:val="00CB44AA"/>
    <w:pPr>
      <w:ind w:left="480"/>
    </w:pPr>
  </w:style>
  <w:style w:type="paragraph" w:styleId="ListParagraph">
    <w:name w:val="List Paragraph"/>
    <w:basedOn w:val="Normal"/>
    <w:uiPriority w:val="34"/>
    <w:qFormat/>
    <w:rsid w:val="00771405"/>
    <w:pPr>
      <w:ind w:leftChars="200" w:left="480"/>
    </w:pPr>
  </w:style>
  <w:style w:type="paragraph" w:styleId="Header">
    <w:name w:val="header"/>
    <w:basedOn w:val="Normal"/>
    <w:link w:val="HeaderChar"/>
    <w:uiPriority w:val="99"/>
    <w:unhideWhenUsed/>
    <w:rsid w:val="005E342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E342B"/>
    <w:rPr>
      <w:sz w:val="20"/>
      <w:szCs w:val="20"/>
    </w:rPr>
  </w:style>
  <w:style w:type="paragraph" w:styleId="Footer">
    <w:name w:val="footer"/>
    <w:basedOn w:val="Normal"/>
    <w:link w:val="FooterChar"/>
    <w:uiPriority w:val="99"/>
    <w:unhideWhenUsed/>
    <w:rsid w:val="005E342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E342B"/>
    <w:rPr>
      <w:sz w:val="20"/>
      <w:szCs w:val="20"/>
    </w:rPr>
  </w:style>
  <w:style w:type="table" w:styleId="TableGrid">
    <w:name w:val="Table Grid"/>
    <w:basedOn w:val="TableNormal"/>
    <w:uiPriority w:val="39"/>
    <w:rsid w:val="00353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645B9"/>
    <w:pPr>
      <w:snapToGrid w:val="0"/>
    </w:pPr>
    <w:rPr>
      <w:sz w:val="20"/>
      <w:szCs w:val="20"/>
    </w:rPr>
  </w:style>
  <w:style w:type="character" w:customStyle="1" w:styleId="FootnoteTextChar">
    <w:name w:val="Footnote Text Char"/>
    <w:basedOn w:val="DefaultParagraphFont"/>
    <w:link w:val="FootnoteText"/>
    <w:uiPriority w:val="99"/>
    <w:semiHidden/>
    <w:rsid w:val="000645B9"/>
    <w:rPr>
      <w:sz w:val="20"/>
      <w:szCs w:val="20"/>
    </w:rPr>
  </w:style>
  <w:style w:type="character" w:styleId="FootnoteReference">
    <w:name w:val="footnote reference"/>
    <w:basedOn w:val="DefaultParagraphFont"/>
    <w:uiPriority w:val="99"/>
    <w:semiHidden/>
    <w:unhideWhenUsed/>
    <w:rsid w:val="000645B9"/>
    <w:rPr>
      <w:vertAlign w:val="superscript"/>
    </w:rPr>
  </w:style>
  <w:style w:type="paragraph" w:styleId="NoteHeading">
    <w:name w:val="Note Heading"/>
    <w:basedOn w:val="Normal"/>
    <w:next w:val="Normal"/>
    <w:link w:val="NoteHeadingChar"/>
    <w:uiPriority w:val="99"/>
    <w:unhideWhenUsed/>
    <w:rsid w:val="00B563D8"/>
    <w:pPr>
      <w:jc w:val="center"/>
    </w:pPr>
    <w:rPr>
      <w:rFonts w:eastAsia="新細明體" w:hAnsi="新細明體"/>
    </w:rPr>
  </w:style>
  <w:style w:type="character" w:customStyle="1" w:styleId="NoteHeadingChar">
    <w:name w:val="Note Heading Char"/>
    <w:basedOn w:val="DefaultParagraphFont"/>
    <w:link w:val="NoteHeading"/>
    <w:uiPriority w:val="99"/>
    <w:rsid w:val="00B563D8"/>
    <w:rPr>
      <w:rFonts w:eastAsia="新細明體" w:hAnsi="新細明體"/>
    </w:rPr>
  </w:style>
  <w:style w:type="paragraph" w:styleId="Closing">
    <w:name w:val="Closing"/>
    <w:basedOn w:val="Normal"/>
    <w:link w:val="ClosingChar"/>
    <w:uiPriority w:val="99"/>
    <w:unhideWhenUsed/>
    <w:rsid w:val="00B563D8"/>
    <w:pPr>
      <w:ind w:leftChars="1800" w:left="100"/>
    </w:pPr>
    <w:rPr>
      <w:rFonts w:eastAsia="新細明體" w:hAnsi="新細明體"/>
    </w:rPr>
  </w:style>
  <w:style w:type="character" w:customStyle="1" w:styleId="ClosingChar">
    <w:name w:val="Closing Char"/>
    <w:basedOn w:val="DefaultParagraphFont"/>
    <w:link w:val="Closing"/>
    <w:uiPriority w:val="99"/>
    <w:rsid w:val="00B563D8"/>
    <w:rPr>
      <w:rFonts w:eastAsia="新細明體" w:hAnsi="新細明體"/>
    </w:rPr>
  </w:style>
  <w:style w:type="paragraph" w:customStyle="1" w:styleId="Default">
    <w:name w:val="Default"/>
    <w:rsid w:val="0070120D"/>
    <w:pPr>
      <w:widowControl w:val="0"/>
      <w:autoSpaceDE w:val="0"/>
      <w:autoSpaceDN w:val="0"/>
      <w:adjustRightInd w:val="0"/>
    </w:pPr>
    <w:rPr>
      <w:rFonts w:ascii="DFMing-Lt" w:eastAsia="DFMing-Lt" w:hAnsi="Calibri" w:cs="DFMing-Lt"/>
      <w:color w:val="000000"/>
      <w:kern w:val="0"/>
      <w:szCs w:val="24"/>
    </w:rPr>
  </w:style>
  <w:style w:type="paragraph" w:styleId="Date">
    <w:name w:val="Date"/>
    <w:basedOn w:val="Normal"/>
    <w:next w:val="Normal"/>
    <w:link w:val="DateChar"/>
    <w:uiPriority w:val="99"/>
    <w:semiHidden/>
    <w:unhideWhenUsed/>
    <w:rsid w:val="00217F8B"/>
    <w:pPr>
      <w:jc w:val="right"/>
    </w:pPr>
  </w:style>
  <w:style w:type="character" w:customStyle="1" w:styleId="DateChar">
    <w:name w:val="Date Char"/>
    <w:basedOn w:val="DefaultParagraphFont"/>
    <w:link w:val="Date"/>
    <w:uiPriority w:val="99"/>
    <w:semiHidden/>
    <w:rsid w:val="00217F8B"/>
  </w:style>
  <w:style w:type="paragraph" w:styleId="BalloonText">
    <w:name w:val="Balloon Text"/>
    <w:basedOn w:val="Normal"/>
    <w:link w:val="BalloonTextChar"/>
    <w:uiPriority w:val="99"/>
    <w:semiHidden/>
    <w:unhideWhenUsed/>
    <w:rsid w:val="000842C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842C4"/>
    <w:rPr>
      <w:rFonts w:asciiTheme="majorHAnsi" w:eastAsiaTheme="majorEastAsia" w:hAnsiTheme="majorHAnsi" w:cstheme="majorBidi"/>
      <w:sz w:val="18"/>
      <w:szCs w:val="18"/>
    </w:rPr>
  </w:style>
  <w:style w:type="paragraph" w:customStyle="1" w:styleId="Normal1">
    <w:name w:val="Normal1"/>
    <w:rsid w:val="00F717E3"/>
    <w:pPr>
      <w:spacing w:line="276" w:lineRule="auto"/>
    </w:pPr>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818C8-8F3E-44C4-A121-1412BB1CC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SoCO_007</dc:creator>
  <cp:keywords/>
  <dc:description/>
  <cp:lastModifiedBy>Yuen</cp:lastModifiedBy>
  <cp:revision>20</cp:revision>
  <cp:lastPrinted>2014-12-16T08:27:00Z</cp:lastPrinted>
  <dcterms:created xsi:type="dcterms:W3CDTF">2015-10-27T07:25:00Z</dcterms:created>
  <dcterms:modified xsi:type="dcterms:W3CDTF">2015-10-28T08:37:00Z</dcterms:modified>
</cp:coreProperties>
</file>