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04" w:rsidRPr="00B16BC4" w:rsidRDefault="00E53E2F" w:rsidP="00E53E2F">
      <w:pPr>
        <w:jc w:val="center"/>
        <w:rPr>
          <w:b/>
        </w:rPr>
      </w:pPr>
      <w:r w:rsidRPr="00B16BC4">
        <w:rPr>
          <w:rFonts w:hint="eastAsia"/>
          <w:b/>
        </w:rPr>
        <w:t>香港社區組織協會</w:t>
      </w:r>
    </w:p>
    <w:p w:rsidR="004F46E8" w:rsidRPr="00B16BC4" w:rsidRDefault="00E53E2F" w:rsidP="004476F4">
      <w:pPr>
        <w:jc w:val="center"/>
        <w:rPr>
          <w:b/>
        </w:rPr>
      </w:pPr>
      <w:r w:rsidRPr="00B16BC4">
        <w:rPr>
          <w:rFonts w:hint="eastAsia"/>
          <w:b/>
        </w:rPr>
        <w:t>回應</w:t>
      </w:r>
      <w:r w:rsidR="00BD2704" w:rsidRPr="00B16BC4">
        <w:rPr>
          <w:rFonts w:hint="eastAsia"/>
          <w:b/>
        </w:rPr>
        <w:t>長遠房屋策略</w:t>
      </w:r>
    </w:p>
    <w:p w:rsidR="00026377" w:rsidRPr="004476F4" w:rsidRDefault="004476F4" w:rsidP="00E53E2F">
      <w:pPr>
        <w:jc w:val="center"/>
        <w:rPr>
          <w:b/>
          <w:sz w:val="52"/>
        </w:rPr>
      </w:pPr>
      <w:r w:rsidRPr="004476F4">
        <w:rPr>
          <w:rFonts w:hint="eastAsia"/>
          <w:b/>
          <w:sz w:val="52"/>
        </w:rPr>
        <w:t>公屋進度</w:t>
      </w:r>
      <w:r w:rsidR="00B82319">
        <w:rPr>
          <w:rFonts w:hint="eastAsia"/>
          <w:b/>
          <w:sz w:val="52"/>
        </w:rPr>
        <w:t>不符預期</w:t>
      </w:r>
      <w:r>
        <w:rPr>
          <w:rFonts w:hint="eastAsia"/>
          <w:b/>
          <w:sz w:val="52"/>
        </w:rPr>
        <w:t xml:space="preserve">  </w:t>
      </w:r>
      <w:r w:rsidRPr="004476F4">
        <w:rPr>
          <w:rFonts w:hint="eastAsia"/>
          <w:b/>
          <w:sz w:val="52"/>
        </w:rPr>
        <w:t>過渡房屋刻不容緩</w:t>
      </w:r>
    </w:p>
    <w:p w:rsidR="004476F4" w:rsidRPr="00B16BC4" w:rsidRDefault="004476F4" w:rsidP="00E53E2F">
      <w:pPr>
        <w:jc w:val="center"/>
        <w:rPr>
          <w:b/>
        </w:rPr>
      </w:pPr>
      <w:r w:rsidRPr="00B16BC4">
        <w:rPr>
          <w:rFonts w:hint="eastAsia"/>
          <w:b/>
        </w:rPr>
        <w:t>新聞稿</w:t>
      </w:r>
    </w:p>
    <w:p w:rsidR="004E625D" w:rsidRPr="006D45E5" w:rsidRDefault="002569A0">
      <w:pPr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</w:rPr>
        <w:t>今日</w:t>
      </w:r>
      <w:r w:rsidR="00BD2704">
        <w:rPr>
          <w:rFonts w:hint="eastAsia"/>
        </w:rPr>
        <w:t>政府公佈長遠房屋策略進度報告，</w:t>
      </w:r>
      <w:r w:rsidR="009E2524">
        <w:rPr>
          <w:rFonts w:hint="eastAsia"/>
        </w:rPr>
        <w:t>宣佈</w:t>
      </w:r>
      <w:r w:rsidR="00BD2704">
        <w:rPr>
          <w:rFonts w:hint="eastAsia"/>
        </w:rPr>
        <w:t>由下個年度開始，十年期總房屋供應目標定為</w:t>
      </w:r>
      <w:r w:rsidR="00BD2704">
        <w:rPr>
          <w:rFonts w:hint="eastAsia"/>
        </w:rPr>
        <w:t>46</w:t>
      </w:r>
      <w:r w:rsidR="00BD2704">
        <w:rPr>
          <w:rFonts w:hint="eastAsia"/>
        </w:rPr>
        <w:t>萬個單位，且維持出租公營房屋</w:t>
      </w:r>
      <w:r w:rsidR="00BD2704">
        <w:rPr>
          <w:rFonts w:hint="eastAsia"/>
        </w:rPr>
        <w:t>20</w:t>
      </w:r>
      <w:r w:rsidR="00BD2704">
        <w:rPr>
          <w:rFonts w:hint="eastAsia"/>
        </w:rPr>
        <w:t>萬個單位目標不變。</w:t>
      </w:r>
      <w:r w:rsidR="00BD2704" w:rsidRPr="0080096E">
        <w:rPr>
          <w:rFonts w:hint="eastAsia"/>
          <w:b/>
        </w:rPr>
        <w:t>本會對此表示</w:t>
      </w:r>
      <w:r w:rsidR="0080096E">
        <w:rPr>
          <w:rFonts w:hint="eastAsia"/>
          <w:b/>
        </w:rPr>
        <w:t>極為</w:t>
      </w:r>
      <w:r w:rsidR="00BD2704" w:rsidRPr="0080096E">
        <w:rPr>
          <w:rFonts w:hint="eastAsia"/>
          <w:b/>
        </w:rPr>
        <w:t>失望，有關新制訂目標嚴重低估住屋需要，無助減低平均輪候時間，</w:t>
      </w:r>
      <w:r w:rsidR="006020C1" w:rsidRPr="0080096E">
        <w:rPr>
          <w:rFonts w:hint="eastAsia"/>
          <w:b/>
        </w:rPr>
        <w:t>未來數年輪候時間勢必繼續屢創新高</w:t>
      </w:r>
      <w:r w:rsidR="009E2524" w:rsidRPr="0080096E">
        <w:rPr>
          <w:rFonts w:hint="eastAsia"/>
          <w:b/>
        </w:rPr>
        <w:t>。</w:t>
      </w:r>
      <w:r w:rsidR="006D45E5">
        <w:rPr>
          <w:rFonts w:hint="eastAsia"/>
          <w:b/>
        </w:rPr>
        <w:t>政府雖然維持出租公營房屋</w:t>
      </w:r>
      <w:r w:rsidR="006D45E5">
        <w:rPr>
          <w:rFonts w:hint="eastAsia"/>
          <w:b/>
        </w:rPr>
        <w:t>20</w:t>
      </w:r>
      <w:r w:rsidR="006D45E5">
        <w:rPr>
          <w:rFonts w:hint="eastAsia"/>
          <w:b/>
        </w:rPr>
        <w:t>萬個目標，</w:t>
      </w:r>
      <w:r w:rsidR="002955E6">
        <w:rPr>
          <w:rFonts w:hint="eastAsia"/>
          <w:b/>
        </w:rPr>
        <w:t>但</w:t>
      </w:r>
      <w:r w:rsidR="006D45E5">
        <w:rPr>
          <w:rFonts w:hint="eastAsia"/>
          <w:b/>
        </w:rPr>
        <w:t>有關</w:t>
      </w:r>
      <w:r w:rsidR="002955E6">
        <w:rPr>
          <w:rFonts w:hint="eastAsia"/>
          <w:b/>
        </w:rPr>
        <w:t>計算方法由此至終從未</w:t>
      </w:r>
      <w:r w:rsidR="006D45E5">
        <w:rPr>
          <w:rFonts w:hint="eastAsia"/>
          <w:b/>
        </w:rPr>
        <w:t>考慮</w:t>
      </w:r>
      <w:r w:rsidR="002955E6">
        <w:rPr>
          <w:rFonts w:hint="eastAsia"/>
          <w:b/>
        </w:rPr>
        <w:t>公屋輪候數字</w:t>
      </w:r>
      <w:r w:rsidR="002955E6" w:rsidRPr="002955E6">
        <w:rPr>
          <w:rFonts w:hint="eastAsia"/>
        </w:rPr>
        <w:t>(</w:t>
      </w:r>
      <w:r w:rsidR="002955E6" w:rsidRPr="002955E6">
        <w:rPr>
          <w:rFonts w:hint="eastAsia"/>
        </w:rPr>
        <w:t>以現時為例，超過</w:t>
      </w:r>
      <w:r w:rsidR="002955E6" w:rsidRPr="002955E6">
        <w:rPr>
          <w:rFonts w:hint="eastAsia"/>
        </w:rPr>
        <w:t>28</w:t>
      </w:r>
      <w:r w:rsidR="002955E6" w:rsidRPr="002955E6">
        <w:rPr>
          <w:rFonts w:hint="eastAsia"/>
        </w:rPr>
        <w:t>萬宗申請</w:t>
      </w:r>
      <w:r w:rsidR="002955E6" w:rsidRPr="002955E6">
        <w:rPr>
          <w:rFonts w:hint="eastAsia"/>
        </w:rPr>
        <w:t>)</w:t>
      </w:r>
      <w:r w:rsidR="002955E6">
        <w:rPr>
          <w:rFonts w:hint="eastAsia"/>
          <w:b/>
        </w:rPr>
        <w:t>，故即使政府能夠供應達標，但並</w:t>
      </w:r>
      <w:r w:rsidR="006D45E5">
        <w:rPr>
          <w:rFonts w:hint="eastAsia"/>
          <w:b/>
        </w:rPr>
        <w:t>難以滿足基層市民住屋需求</w:t>
      </w:r>
      <w:r w:rsidR="00043E60">
        <w:rPr>
          <w:rFonts w:hint="eastAsia"/>
          <w:b/>
        </w:rPr>
        <w:t>，更何況現時只覓得足以興建約</w:t>
      </w:r>
      <w:r w:rsidR="00043E60">
        <w:rPr>
          <w:rFonts w:hint="eastAsia"/>
          <w:b/>
        </w:rPr>
        <w:t>25</w:t>
      </w:r>
      <w:r w:rsidR="00043E60">
        <w:rPr>
          <w:rFonts w:hint="eastAsia"/>
          <w:b/>
        </w:rPr>
        <w:t>萬個資助房屋的用地。</w:t>
      </w:r>
      <w:r w:rsidR="009E2524" w:rsidRPr="0080096E">
        <w:rPr>
          <w:rFonts w:hint="eastAsia"/>
          <w:b/>
        </w:rPr>
        <w:t>更甚是，政府面對現時市面租金高昂情況下，卻對</w:t>
      </w:r>
      <w:r w:rsidR="000F20C7" w:rsidRPr="0080096E">
        <w:rPr>
          <w:rFonts w:hint="eastAsia"/>
          <w:b/>
        </w:rPr>
        <w:t>租務管制、過渡性房屋</w:t>
      </w:r>
      <w:r w:rsidR="009E2524" w:rsidRPr="0080096E">
        <w:rPr>
          <w:rFonts w:hint="eastAsia"/>
          <w:b/>
        </w:rPr>
        <w:t>等</w:t>
      </w:r>
      <w:r w:rsidR="000F20C7" w:rsidRPr="0080096E">
        <w:rPr>
          <w:rFonts w:hint="eastAsia"/>
          <w:b/>
        </w:rPr>
        <w:t>隻字不提</w:t>
      </w:r>
      <w:r w:rsidR="009E2524" w:rsidRPr="0080096E">
        <w:rPr>
          <w:rFonts w:hint="eastAsia"/>
          <w:b/>
        </w:rPr>
        <w:t>，而</w:t>
      </w:r>
      <w:r w:rsidR="004E625D" w:rsidRPr="0080096E">
        <w:rPr>
          <w:rFonts w:hint="eastAsia"/>
          <w:b/>
        </w:rPr>
        <w:t>非長者單身</w:t>
      </w:r>
      <w:r w:rsidR="009E2524" w:rsidRPr="0080096E">
        <w:rPr>
          <w:rFonts w:hint="eastAsia"/>
          <w:b/>
        </w:rPr>
        <w:t>人士公屋需求</w:t>
      </w:r>
      <w:r w:rsidR="00043E60">
        <w:rPr>
          <w:rFonts w:hint="eastAsia"/>
          <w:b/>
        </w:rPr>
        <w:t>更</w:t>
      </w:r>
      <w:r w:rsidR="009E2524" w:rsidRPr="0080096E">
        <w:rPr>
          <w:rFonts w:hint="eastAsia"/>
          <w:b/>
        </w:rPr>
        <w:t>沒有著墨，任由市民續捱貴租，長等公屋。</w:t>
      </w:r>
      <w:r w:rsidR="001D4CDF">
        <w:rPr>
          <w:b/>
        </w:rPr>
        <w:br/>
      </w:r>
    </w:p>
    <w:p w:rsidR="00CA1441" w:rsidRPr="001D4CDF" w:rsidRDefault="001D4CDF" w:rsidP="00CA1441">
      <w:pPr>
        <w:pStyle w:val="1"/>
        <w:numPr>
          <w:ilvl w:val="0"/>
          <w:numId w:val="3"/>
        </w:numPr>
        <w:spacing w:line="120" w:lineRule="atLeast"/>
        <w:ind w:leftChars="0"/>
        <w:jc w:val="both"/>
        <w:rPr>
          <w:rFonts w:ascii="新細明體" w:hAnsi="新細明體"/>
          <w:b/>
          <w:szCs w:val="24"/>
          <w:u w:val="single"/>
        </w:rPr>
      </w:pPr>
      <w:r w:rsidRPr="001D4CDF">
        <w:rPr>
          <w:rFonts w:asciiTheme="minorHAnsi" w:eastAsiaTheme="minorEastAsia" w:hAnsiTheme="minorHAnsi" w:cstheme="minorBidi" w:hint="eastAsia"/>
          <w:b/>
          <w:u w:val="single"/>
        </w:rPr>
        <w:t>未來五年公屋供應跌至萬五，公屋輪時間勢創新高</w:t>
      </w:r>
    </w:p>
    <w:p w:rsidR="00CA1441" w:rsidRDefault="00CA1441" w:rsidP="00CA1441">
      <w:pPr>
        <w:spacing w:line="120" w:lineRule="atLeast"/>
        <w:ind w:left="36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截止2015年9月，公屋平均輪候時間為3.6年，遠高於房委會公屋輪候目標。事實上，平均</w:t>
      </w:r>
    </w:p>
    <w:p w:rsidR="006D1549" w:rsidRPr="00CA1441" w:rsidRDefault="00CA1441" w:rsidP="001F2FBD">
      <w:pPr>
        <w:spacing w:line="120" w:lineRule="atLeast"/>
        <w:rPr>
          <w:rFonts w:ascii="新細明體" w:hAnsi="新細明體"/>
          <w:szCs w:val="24"/>
        </w:rPr>
      </w:pPr>
      <w:r w:rsidRPr="00E34770">
        <w:rPr>
          <w:rFonts w:ascii="新細明體" w:hAnsi="新細明體" w:hint="eastAsia"/>
          <w:szCs w:val="24"/>
        </w:rPr>
        <w:t>輪候時間僅計算過去12個月獲安置的申請者，</w:t>
      </w:r>
      <w:r w:rsidRPr="00B82319">
        <w:rPr>
          <w:rFonts w:ascii="新細明體" w:hAnsi="新細明體" w:hint="eastAsia"/>
          <w:szCs w:val="24"/>
        </w:rPr>
        <w:t>但不計算所有在輪候冊上未獲安置的申請人，也</w:t>
      </w:r>
      <w:r w:rsidRPr="00B82319">
        <w:rPr>
          <w:rFonts w:hint="eastAsia"/>
        </w:rPr>
        <w:t>將非長者單身排拒於上樓承諾之外，</w:t>
      </w:r>
      <w:r w:rsidRPr="00B82319">
        <w:rPr>
          <w:rFonts w:ascii="新細明體" w:hAnsi="新細明體" w:hint="eastAsia"/>
          <w:szCs w:val="24"/>
        </w:rPr>
        <w:t>故有關數字不單未能反映現時輪候冊上申請者的輪候情況，導致真實輪候時間被嚴重低估。</w:t>
      </w:r>
      <w:r w:rsidR="001F2FBD" w:rsidRPr="005929FE">
        <w:rPr>
          <w:rFonts w:ascii="新細明體" w:hAnsi="新細明體"/>
          <w:szCs w:val="24"/>
        </w:rPr>
        <w:t>從200</w:t>
      </w:r>
      <w:r w:rsidR="001F2FBD" w:rsidRPr="005929FE">
        <w:rPr>
          <w:rFonts w:ascii="新細明體" w:hAnsi="新細明體" w:hint="eastAsia"/>
          <w:szCs w:val="24"/>
        </w:rPr>
        <w:t>8</w:t>
      </w:r>
      <w:r w:rsidR="001F2FBD" w:rsidRPr="005929FE">
        <w:rPr>
          <w:rFonts w:ascii="新細明體" w:hAnsi="新細明體"/>
          <w:szCs w:val="24"/>
        </w:rPr>
        <w:t>年至</w:t>
      </w:r>
      <w:r w:rsidR="001F2FBD" w:rsidRPr="005929FE">
        <w:rPr>
          <w:rFonts w:ascii="新細明體" w:hAnsi="新細明體" w:hint="eastAsia"/>
          <w:szCs w:val="24"/>
        </w:rPr>
        <w:t>今</w:t>
      </w:r>
      <w:r w:rsidR="001F2FBD" w:rsidRPr="005929FE">
        <w:rPr>
          <w:rFonts w:ascii="新細明體" w:hAnsi="新細明體"/>
          <w:szCs w:val="24"/>
        </w:rPr>
        <w:t>，公屋輪候個案激增</w:t>
      </w:r>
      <w:r w:rsidR="001F2FBD" w:rsidRPr="005929FE">
        <w:rPr>
          <w:rFonts w:ascii="新細明體" w:hAnsi="新細明體" w:hint="eastAsia"/>
          <w:szCs w:val="24"/>
        </w:rPr>
        <w:t>超過1倍，現時輪候冊數字</w:t>
      </w:r>
      <w:r w:rsidR="004476F4">
        <w:rPr>
          <w:rFonts w:ascii="新細明體" w:hAnsi="新細明體" w:hint="eastAsia"/>
          <w:szCs w:val="24"/>
        </w:rPr>
        <w:t>更</w:t>
      </w:r>
      <w:r w:rsidR="001F2FBD" w:rsidRPr="005929FE">
        <w:rPr>
          <w:rFonts w:ascii="新細明體" w:hAnsi="新細明體" w:hint="eastAsia"/>
          <w:szCs w:val="24"/>
        </w:rPr>
        <w:t>超過</w:t>
      </w:r>
      <w:r w:rsidR="001F2FBD">
        <w:rPr>
          <w:rFonts w:ascii="新細明體" w:hAnsi="新細明體" w:hint="eastAsia"/>
          <w:szCs w:val="24"/>
        </w:rPr>
        <w:t>28</w:t>
      </w:r>
      <w:r w:rsidR="001F2FBD" w:rsidRPr="005929FE">
        <w:rPr>
          <w:rFonts w:ascii="新細明體" w:hAnsi="新細明體" w:hint="eastAsia"/>
          <w:szCs w:val="24"/>
        </w:rPr>
        <w:t>萬大關。</w:t>
      </w:r>
      <w:r>
        <w:rPr>
          <w:rFonts w:asciiTheme="minorEastAsia" w:hAnsiTheme="minorEastAsia" w:hint="eastAsia"/>
        </w:rPr>
        <w:t>截止2015年6月底，輪候公屋時間為三年以上而未獲配屋的一般申請者達46,100宗，遠高於2014年6月底的28,300宗及2013年6月底19,200宗，情況明顯繼續惡化，故今次長遠房屋策略不但未有正視公屋不足問題，反而將總單位供應目標降至46萬，令人質疑政府是否有</w:t>
      </w:r>
      <w:r w:rsidR="004476F4">
        <w:rPr>
          <w:rFonts w:asciiTheme="minorEastAsia" w:hAnsiTheme="minorEastAsia" w:hint="eastAsia"/>
        </w:rPr>
        <w:t>決</w:t>
      </w:r>
      <w:r>
        <w:rPr>
          <w:rFonts w:asciiTheme="minorEastAsia" w:hAnsiTheme="minorEastAsia" w:hint="eastAsia"/>
        </w:rPr>
        <w:t>心處理問題。</w:t>
      </w:r>
      <w:r w:rsidR="004476F4">
        <w:rPr>
          <w:rFonts w:ascii="新細明體" w:hAnsi="新細明體" w:hint="eastAsia"/>
          <w:szCs w:val="24"/>
        </w:rPr>
        <w:t>而</w:t>
      </w:r>
      <w:r w:rsidR="00026377">
        <w:rPr>
          <w:rFonts w:ascii="新細明體" w:hAnsi="新細明體" w:hint="eastAsia"/>
          <w:b/>
          <w:szCs w:val="24"/>
        </w:rPr>
        <w:t>房委會在</w:t>
      </w:r>
      <w:r w:rsidR="001F2FBD" w:rsidRPr="00285341">
        <w:rPr>
          <w:rFonts w:ascii="新細明體" w:hAnsi="新細明體" w:hint="eastAsia"/>
          <w:b/>
          <w:szCs w:val="24"/>
        </w:rPr>
        <w:t>2015/16至2019/20年度只有7.56萬個</w:t>
      </w:r>
      <w:r w:rsidR="00026377">
        <w:rPr>
          <w:rFonts w:ascii="新細明體" w:hAnsi="新細明體" w:hint="eastAsia"/>
          <w:b/>
          <w:szCs w:val="24"/>
        </w:rPr>
        <w:t>新</w:t>
      </w:r>
      <w:r w:rsidR="000F20C7">
        <w:rPr>
          <w:rFonts w:ascii="新細明體" w:hAnsi="新細明體" w:hint="eastAsia"/>
          <w:b/>
          <w:szCs w:val="24"/>
        </w:rPr>
        <w:t>出租</w:t>
      </w:r>
      <w:r w:rsidR="001F2FBD" w:rsidRPr="00285341">
        <w:rPr>
          <w:rFonts w:ascii="新細明體" w:hAnsi="新細明體" w:hint="eastAsia"/>
          <w:b/>
          <w:szCs w:val="24"/>
        </w:rPr>
        <w:t>公屋單位供應，即每年平均只有1.5萬個新供應，</w:t>
      </w:r>
      <w:r w:rsidR="000F20C7">
        <w:rPr>
          <w:rFonts w:ascii="新細明體" w:hAnsi="新細明體" w:hint="eastAsia"/>
          <w:b/>
          <w:szCs w:val="24"/>
        </w:rPr>
        <w:t>與過去數年相若，</w:t>
      </w:r>
      <w:r w:rsidR="00043E60">
        <w:rPr>
          <w:rFonts w:ascii="新細明體" w:hAnsi="新細明體" w:hint="eastAsia"/>
          <w:b/>
          <w:szCs w:val="24"/>
        </w:rPr>
        <w:t>與每年平均2萬個出租公屋落成量相比明顯倒退，而非有所改善。</w:t>
      </w:r>
    </w:p>
    <w:p w:rsidR="00CA1441" w:rsidRPr="00043E60" w:rsidRDefault="00CA1441" w:rsidP="001F2FBD">
      <w:pPr>
        <w:spacing w:line="120" w:lineRule="atLeast"/>
        <w:rPr>
          <w:rFonts w:ascii="新細明體" w:hAnsi="新細明體"/>
          <w:b/>
          <w:szCs w:val="24"/>
        </w:rPr>
      </w:pPr>
    </w:p>
    <w:p w:rsidR="00390CE3" w:rsidRPr="001D4CDF" w:rsidRDefault="001D4CDF" w:rsidP="00390CE3">
      <w:pPr>
        <w:pStyle w:val="a8"/>
        <w:numPr>
          <w:ilvl w:val="0"/>
          <w:numId w:val="3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政府固步自封，</w:t>
      </w:r>
      <w:r w:rsidR="00390CE3" w:rsidRPr="001D4CDF">
        <w:rPr>
          <w:rFonts w:hint="eastAsia"/>
          <w:b/>
          <w:u w:val="single"/>
        </w:rPr>
        <w:t>過渡性房屋</w:t>
      </w:r>
      <w:r>
        <w:rPr>
          <w:rFonts w:hint="eastAsia"/>
          <w:b/>
          <w:u w:val="single"/>
        </w:rPr>
        <w:t>隻字不提</w:t>
      </w:r>
    </w:p>
    <w:p w:rsidR="005B0DE8" w:rsidRDefault="00390CE3" w:rsidP="00390CE3">
      <w:pPr>
        <w:pStyle w:val="a8"/>
        <w:ind w:leftChars="0" w:left="360"/>
        <w:rPr>
          <w:rFonts w:ascii="新細明體" w:hAnsi="新細明體"/>
          <w:szCs w:val="24"/>
        </w:rPr>
      </w:pPr>
      <w:r w:rsidRPr="006D1549">
        <w:rPr>
          <w:rFonts w:ascii="新細明體" w:hAnsi="新細明體" w:hint="eastAsia"/>
          <w:szCs w:val="24"/>
        </w:rPr>
        <w:t>政府</w:t>
      </w:r>
      <w:r w:rsidR="005B0DE8">
        <w:rPr>
          <w:rFonts w:ascii="新細明體" w:hAnsi="新細明體" w:hint="eastAsia"/>
          <w:szCs w:val="24"/>
        </w:rPr>
        <w:t>雖然</w:t>
      </w:r>
      <w:r w:rsidRPr="006D1549">
        <w:rPr>
          <w:rFonts w:ascii="新細明體" w:hAnsi="新細明體" w:hint="eastAsia"/>
          <w:szCs w:val="24"/>
        </w:rPr>
        <w:t>表示已覓得2016-17至2025-26年度十年期興建約255,000個公營房屋單位土地，但同時</w:t>
      </w:r>
    </w:p>
    <w:p w:rsidR="00390CE3" w:rsidRPr="005B0DE8" w:rsidRDefault="00390CE3" w:rsidP="005B0DE8">
      <w:pPr>
        <w:rPr>
          <w:rFonts w:ascii="新細明體" w:hAnsi="新細明體"/>
          <w:szCs w:val="24"/>
        </w:rPr>
      </w:pPr>
      <w:r w:rsidRPr="005B0DE8">
        <w:rPr>
          <w:rFonts w:ascii="新細明體" w:hAnsi="新細明體" w:hint="eastAsia"/>
          <w:szCs w:val="24"/>
        </w:rPr>
        <w:t>證明政府</w:t>
      </w:r>
      <w:r w:rsidR="005B0DE8">
        <w:rPr>
          <w:rFonts w:ascii="新細明體" w:hAnsi="新細明體" w:hint="eastAsia"/>
          <w:szCs w:val="24"/>
        </w:rPr>
        <w:t>至今仍然</w:t>
      </w:r>
      <w:r w:rsidRPr="005B0DE8">
        <w:rPr>
          <w:rFonts w:ascii="新細明體" w:hAnsi="新細明體" w:hint="eastAsia"/>
          <w:szCs w:val="24"/>
        </w:rPr>
        <w:t>未有足夠土地維持28萬個資助房屋供應</w:t>
      </w:r>
      <w:r w:rsidR="005B0DE8">
        <w:rPr>
          <w:rFonts w:ascii="新細明體" w:hAnsi="新細明體" w:hint="eastAsia"/>
          <w:szCs w:val="24"/>
        </w:rPr>
        <w:t>，除很可能延長市民輪候時間外，距離28萬個供應目標仍然有接近3萬個差距，故政府實有需要考慮公屋以外的房屋選擇，以處理有關住屋需求。在長</w:t>
      </w:r>
      <w:r w:rsidRPr="005B0DE8">
        <w:rPr>
          <w:rFonts w:ascii="新細明體" w:hAnsi="新細明體" w:hint="eastAsia"/>
          <w:szCs w:val="24"/>
        </w:rPr>
        <w:t>策</w:t>
      </w:r>
      <w:r w:rsidR="005B0DE8">
        <w:rPr>
          <w:rFonts w:ascii="新細明體" w:hAnsi="新細明體" w:hint="eastAsia"/>
          <w:szCs w:val="24"/>
        </w:rPr>
        <w:t>諮詢期間，過往仍然對</w:t>
      </w:r>
      <w:r w:rsidRPr="005B0DE8">
        <w:rPr>
          <w:rFonts w:ascii="新細明體" w:hAnsi="新細明體" w:hint="eastAsia"/>
          <w:szCs w:val="24"/>
        </w:rPr>
        <w:t>過渡性房屋供應</w:t>
      </w:r>
      <w:r w:rsidR="005B0DE8">
        <w:rPr>
          <w:rFonts w:ascii="新細明體" w:hAnsi="新細明體" w:hint="eastAsia"/>
          <w:szCs w:val="24"/>
        </w:rPr>
        <w:t>持開放態度，</w:t>
      </w:r>
      <w:r w:rsidRPr="005B0DE8">
        <w:rPr>
          <w:rFonts w:ascii="新細明體" w:hAnsi="新細明體" w:hint="eastAsia"/>
          <w:szCs w:val="24"/>
        </w:rPr>
        <w:t>但</w:t>
      </w:r>
      <w:r w:rsidR="005B0DE8">
        <w:rPr>
          <w:rFonts w:ascii="新細明體" w:hAnsi="新細明體" w:hint="eastAsia"/>
          <w:szCs w:val="24"/>
        </w:rPr>
        <w:t>在長策報告出台時，卻對過渡性房屋與公屋</w:t>
      </w:r>
      <w:r w:rsidR="00C5090F">
        <w:rPr>
          <w:rFonts w:ascii="新細明體" w:hAnsi="新細明體" w:hint="eastAsia"/>
          <w:szCs w:val="24"/>
        </w:rPr>
        <w:t>呈對立面</w:t>
      </w:r>
      <w:r w:rsidR="005B0DE8">
        <w:rPr>
          <w:rFonts w:ascii="新細明體" w:hAnsi="新細明體" w:hint="eastAsia"/>
          <w:szCs w:val="24"/>
        </w:rPr>
        <w:t>，而</w:t>
      </w:r>
      <w:r w:rsidRPr="005B0DE8">
        <w:rPr>
          <w:rFonts w:ascii="新細明體" w:hAnsi="新細明體" w:hint="eastAsia"/>
          <w:szCs w:val="24"/>
        </w:rPr>
        <w:t>是次報告</w:t>
      </w:r>
      <w:r w:rsidR="005B0DE8">
        <w:rPr>
          <w:rFonts w:ascii="新細明體" w:hAnsi="新細明體" w:hint="eastAsia"/>
          <w:szCs w:val="24"/>
        </w:rPr>
        <w:t>更加隻字不提</w:t>
      </w:r>
      <w:r w:rsidRPr="005B0DE8">
        <w:rPr>
          <w:rFonts w:ascii="新細明體" w:hAnsi="新細明體" w:hint="eastAsia"/>
          <w:szCs w:val="24"/>
        </w:rPr>
        <w:t>。</w:t>
      </w:r>
    </w:p>
    <w:p w:rsidR="0065300C" w:rsidRDefault="0065300C"/>
    <w:p w:rsidR="0065300C" w:rsidRPr="001D4CDF" w:rsidRDefault="001D4CDF" w:rsidP="001D4CDF">
      <w:pPr>
        <w:pStyle w:val="a8"/>
        <w:numPr>
          <w:ilvl w:val="0"/>
          <w:numId w:val="3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取消租務管制遺禍，</w:t>
      </w:r>
      <w:r w:rsidR="0065300C" w:rsidRPr="001D4CDF">
        <w:rPr>
          <w:rFonts w:hint="eastAsia"/>
          <w:b/>
          <w:u w:val="single"/>
        </w:rPr>
        <w:t>私</w:t>
      </w:r>
      <w:r>
        <w:rPr>
          <w:rFonts w:hint="eastAsia"/>
          <w:b/>
          <w:u w:val="single"/>
        </w:rPr>
        <w:t>人租務市場失衡</w:t>
      </w:r>
    </w:p>
    <w:p w:rsidR="00351079" w:rsidRDefault="0065300C" w:rsidP="00105EA6">
      <w:pPr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 xml:space="preserve">    </w:t>
      </w:r>
      <w:r w:rsidRPr="008D118C">
        <w:rPr>
          <w:rFonts w:hint="eastAsia"/>
        </w:rPr>
        <w:t>基層住屋問題乃因</w:t>
      </w:r>
      <w:r w:rsidR="0076641E">
        <w:rPr>
          <w:rFonts w:hint="eastAsia"/>
        </w:rPr>
        <w:t>公共房屋長期供不應求，而</w:t>
      </w:r>
      <w:r w:rsidRPr="008D118C">
        <w:rPr>
          <w:rFonts w:hint="eastAsia"/>
        </w:rPr>
        <w:t>公共房屋供應不足問題延伸至私樓租務市場，市場因求過於供使私樓租金一直上升。</w:t>
      </w:r>
      <w:r w:rsidRPr="00000B5A">
        <w:rPr>
          <w:rFonts w:hint="eastAsia"/>
          <w:b/>
        </w:rPr>
        <w:t>就過去六年</w:t>
      </w:r>
      <w:r w:rsidRPr="00000B5A">
        <w:rPr>
          <w:rFonts w:hint="eastAsia"/>
          <w:b/>
        </w:rPr>
        <w:t>(2009</w:t>
      </w:r>
      <w:r w:rsidRPr="00000B5A">
        <w:rPr>
          <w:rFonts w:hint="eastAsia"/>
          <w:b/>
        </w:rPr>
        <w:t>年</w:t>
      </w:r>
      <w:r w:rsidRPr="00000B5A">
        <w:rPr>
          <w:rFonts w:hint="eastAsia"/>
          <w:b/>
        </w:rPr>
        <w:t>7</w:t>
      </w:r>
      <w:r w:rsidRPr="00000B5A">
        <w:rPr>
          <w:rFonts w:hint="eastAsia"/>
          <w:b/>
        </w:rPr>
        <w:t>月至</w:t>
      </w:r>
      <w:r w:rsidRPr="00000B5A">
        <w:rPr>
          <w:rFonts w:hint="eastAsia"/>
          <w:b/>
        </w:rPr>
        <w:t>2015</w:t>
      </w:r>
      <w:r w:rsidRPr="00000B5A">
        <w:rPr>
          <w:rFonts w:hint="eastAsia"/>
          <w:b/>
        </w:rPr>
        <w:t>年</w:t>
      </w:r>
      <w:r w:rsidRPr="00000B5A">
        <w:rPr>
          <w:rFonts w:hint="eastAsia"/>
          <w:b/>
        </w:rPr>
        <w:t>6</w:t>
      </w:r>
      <w:r w:rsidRPr="00000B5A">
        <w:rPr>
          <w:rFonts w:hint="eastAsia"/>
          <w:b/>
        </w:rPr>
        <w:t>月</w:t>
      </w:r>
      <w:r w:rsidRPr="00000B5A">
        <w:rPr>
          <w:rFonts w:hint="eastAsia"/>
          <w:b/>
        </w:rPr>
        <w:t>)</w:t>
      </w:r>
      <w:r w:rsidRPr="00000B5A">
        <w:rPr>
          <w:rFonts w:hint="eastAsia"/>
          <w:b/>
        </w:rPr>
        <w:t>整體私人住宅租金指數上升</w:t>
      </w:r>
      <w:r w:rsidRPr="00000B5A">
        <w:rPr>
          <w:rFonts w:hint="eastAsia"/>
          <w:b/>
        </w:rPr>
        <w:t>74.5%</w:t>
      </w:r>
      <w:r w:rsidRPr="00000B5A">
        <w:rPr>
          <w:rFonts w:hint="eastAsia"/>
          <w:b/>
        </w:rPr>
        <w:t>，其中以面積較少單位</w:t>
      </w:r>
      <w:r w:rsidRPr="00000B5A">
        <w:rPr>
          <w:rFonts w:hint="eastAsia"/>
          <w:b/>
        </w:rPr>
        <w:t>(A</w:t>
      </w:r>
      <w:r w:rsidRPr="00000B5A">
        <w:rPr>
          <w:rFonts w:hint="eastAsia"/>
          <w:b/>
        </w:rPr>
        <w:t>類四十平方米以下單位</w:t>
      </w:r>
      <w:r w:rsidRPr="00000B5A">
        <w:rPr>
          <w:rFonts w:hint="eastAsia"/>
          <w:b/>
        </w:rPr>
        <w:t>)</w:t>
      </w:r>
      <w:r w:rsidRPr="00000B5A">
        <w:rPr>
          <w:rFonts w:hint="eastAsia"/>
          <w:b/>
        </w:rPr>
        <w:t>升幅更為嚴重，上升更達</w:t>
      </w:r>
      <w:r w:rsidRPr="00000B5A">
        <w:rPr>
          <w:rFonts w:hint="eastAsia"/>
          <w:b/>
        </w:rPr>
        <w:t>85.6%</w:t>
      </w:r>
      <w:r w:rsidRPr="00000B5A">
        <w:rPr>
          <w:rFonts w:hint="eastAsia"/>
          <w:b/>
        </w:rPr>
        <w:t>，名乎其實</w:t>
      </w:r>
      <w:r w:rsidRPr="00000B5A">
        <w:rPr>
          <w:rFonts w:asciiTheme="minorEastAsia" w:hAnsiTheme="minorEastAsia" w:hint="eastAsia"/>
          <w:b/>
        </w:rPr>
        <w:t>「</w:t>
      </w:r>
      <w:r w:rsidRPr="00000B5A">
        <w:rPr>
          <w:rFonts w:hint="eastAsia"/>
          <w:b/>
        </w:rPr>
        <w:t>跑贏大市</w:t>
      </w:r>
      <w:r w:rsidRPr="00000B5A">
        <w:rPr>
          <w:rFonts w:asciiTheme="minorEastAsia" w:hAnsiTheme="minorEastAsia" w:hint="eastAsia"/>
          <w:b/>
        </w:rPr>
        <w:t>」</w:t>
      </w:r>
      <w:r w:rsidRPr="00000B5A">
        <w:rPr>
          <w:rFonts w:hint="eastAsia"/>
          <w:b/>
        </w:rPr>
        <w:t>。</w:t>
      </w:r>
      <w:r w:rsidR="0076641E" w:rsidRPr="0076641E">
        <w:rPr>
          <w:rFonts w:hint="eastAsia"/>
        </w:rPr>
        <w:t>在</w:t>
      </w:r>
      <w:r w:rsidR="00105EA6" w:rsidRPr="00105EA6">
        <w:rPr>
          <w:rFonts w:hint="eastAsia"/>
        </w:rPr>
        <w:t>香港</w:t>
      </w:r>
      <w:r w:rsidR="00105EA6">
        <w:rPr>
          <w:rFonts w:asciiTheme="majorEastAsia" w:eastAsiaTheme="majorEastAsia" w:hAnsiTheme="majorEastAsia" w:hint="eastAsia"/>
          <w:szCs w:val="24"/>
        </w:rPr>
        <w:t>統計處今年</w:t>
      </w:r>
      <w:r w:rsidR="00105EA6" w:rsidRPr="00E90CC1">
        <w:rPr>
          <w:rFonts w:asciiTheme="majorEastAsia" w:eastAsiaTheme="majorEastAsia" w:hAnsiTheme="majorEastAsia" w:hint="eastAsia"/>
          <w:szCs w:val="24"/>
        </w:rPr>
        <w:t>公佈</w:t>
      </w:r>
      <w:r w:rsidR="0076641E">
        <w:rPr>
          <w:rFonts w:asciiTheme="majorEastAsia" w:eastAsiaTheme="majorEastAsia" w:hAnsiTheme="majorEastAsia" w:hint="eastAsia"/>
          <w:szCs w:val="24"/>
        </w:rPr>
        <w:t>的</w:t>
      </w:r>
      <w:r w:rsidR="00105EA6" w:rsidRPr="00E90CC1">
        <w:rPr>
          <w:rFonts w:asciiTheme="majorEastAsia" w:eastAsiaTheme="majorEastAsia" w:hAnsiTheme="majorEastAsia" w:hint="eastAsia"/>
          <w:szCs w:val="24"/>
        </w:rPr>
        <w:t>《香港分間樓宇單位的住屋狀況》</w:t>
      </w:r>
      <w:r w:rsidR="00105EA6">
        <w:rPr>
          <w:rFonts w:asciiTheme="majorEastAsia" w:eastAsiaTheme="majorEastAsia" w:hAnsiTheme="majorEastAsia" w:hint="eastAsia"/>
          <w:szCs w:val="24"/>
        </w:rPr>
        <w:t>，</w:t>
      </w:r>
      <w:r w:rsidR="00105EA6" w:rsidRPr="00E90CC1">
        <w:rPr>
          <w:rFonts w:asciiTheme="majorEastAsia" w:eastAsiaTheme="majorEastAsia" w:hAnsiTheme="majorEastAsia" w:hint="eastAsia"/>
          <w:szCs w:val="24"/>
        </w:rPr>
        <w:t>整體住戶的租金</w:t>
      </w:r>
      <w:proofErr w:type="gramStart"/>
      <w:r w:rsidR="00105EA6" w:rsidRPr="00E90CC1">
        <w:rPr>
          <w:rFonts w:asciiTheme="majorEastAsia" w:eastAsiaTheme="majorEastAsia" w:hAnsiTheme="majorEastAsia" w:hint="eastAsia"/>
          <w:szCs w:val="24"/>
        </w:rPr>
        <w:t>佔</w:t>
      </w:r>
      <w:proofErr w:type="gramEnd"/>
      <w:r w:rsidR="00105EA6" w:rsidRPr="00E90CC1">
        <w:rPr>
          <w:rFonts w:asciiTheme="majorEastAsia" w:eastAsiaTheme="majorEastAsia" w:hAnsiTheme="majorEastAsia" w:hint="eastAsia"/>
          <w:szCs w:val="24"/>
        </w:rPr>
        <w:t>入息比</w:t>
      </w:r>
    </w:p>
    <w:p w:rsidR="00351079" w:rsidRDefault="00351079" w:rsidP="00105EA6">
      <w:pPr>
        <w:rPr>
          <w:rFonts w:asciiTheme="majorEastAsia" w:eastAsiaTheme="majorEastAsia" w:hAnsiTheme="majorEastAsia"/>
          <w:szCs w:val="24"/>
        </w:rPr>
      </w:pPr>
    </w:p>
    <w:p w:rsidR="00351079" w:rsidRDefault="00351079" w:rsidP="00105EA6">
      <w:pPr>
        <w:rPr>
          <w:rFonts w:asciiTheme="majorEastAsia" w:eastAsiaTheme="majorEastAsia" w:hAnsiTheme="majorEastAsia"/>
          <w:szCs w:val="24"/>
        </w:rPr>
      </w:pPr>
    </w:p>
    <w:p w:rsidR="00351079" w:rsidRDefault="00351079" w:rsidP="00105EA6">
      <w:pPr>
        <w:rPr>
          <w:rFonts w:asciiTheme="majorEastAsia" w:eastAsiaTheme="majorEastAsia" w:hAnsiTheme="majorEastAsia"/>
          <w:szCs w:val="24"/>
        </w:rPr>
      </w:pPr>
    </w:p>
    <w:p w:rsidR="00351079" w:rsidRDefault="00351079" w:rsidP="00105EA6">
      <w:pPr>
        <w:rPr>
          <w:rFonts w:asciiTheme="majorEastAsia" w:eastAsiaTheme="majorEastAsia" w:hAnsiTheme="majorEastAsia"/>
          <w:szCs w:val="24"/>
        </w:rPr>
      </w:pPr>
    </w:p>
    <w:p w:rsidR="00351079" w:rsidRDefault="00351079" w:rsidP="00105EA6">
      <w:pPr>
        <w:rPr>
          <w:rFonts w:asciiTheme="majorEastAsia" w:eastAsiaTheme="majorEastAsia" w:hAnsiTheme="majorEastAsia"/>
          <w:szCs w:val="24"/>
        </w:rPr>
      </w:pPr>
    </w:p>
    <w:p w:rsidR="00351079" w:rsidRDefault="00351079" w:rsidP="00105EA6">
      <w:pPr>
        <w:rPr>
          <w:rFonts w:asciiTheme="majorEastAsia" w:eastAsiaTheme="majorEastAsia" w:hAnsiTheme="majorEastAsia"/>
          <w:szCs w:val="24"/>
        </w:rPr>
      </w:pPr>
    </w:p>
    <w:p w:rsidR="00105EA6" w:rsidRPr="00105EA6" w:rsidRDefault="00105EA6" w:rsidP="00105EA6">
      <w:pPr>
        <w:rPr>
          <w:b/>
        </w:rPr>
      </w:pPr>
      <w:proofErr w:type="gramStart"/>
      <w:r w:rsidRPr="00E90CC1">
        <w:rPr>
          <w:rFonts w:asciiTheme="majorEastAsia" w:eastAsiaTheme="majorEastAsia" w:hAnsiTheme="majorEastAsia" w:hint="eastAsia"/>
          <w:szCs w:val="24"/>
        </w:rPr>
        <w:t>例</w:t>
      </w:r>
      <w:r w:rsidR="0076641E">
        <w:rPr>
          <w:rFonts w:asciiTheme="majorEastAsia" w:eastAsiaTheme="majorEastAsia" w:hAnsiTheme="majorEastAsia" w:hint="eastAsia"/>
          <w:szCs w:val="24"/>
        </w:rPr>
        <w:t>更</w:t>
      </w:r>
      <w:r w:rsidRPr="00E90CC1">
        <w:rPr>
          <w:rFonts w:asciiTheme="majorEastAsia" w:eastAsiaTheme="majorEastAsia" w:hAnsiTheme="majorEastAsia" w:hint="eastAsia"/>
          <w:szCs w:val="24"/>
        </w:rPr>
        <w:t>達</w:t>
      </w:r>
      <w:proofErr w:type="gramEnd"/>
      <w:r w:rsidRPr="00E90CC1">
        <w:rPr>
          <w:rFonts w:asciiTheme="majorEastAsia" w:eastAsiaTheme="majorEastAsia" w:hAnsiTheme="majorEastAsia" w:hint="eastAsia"/>
          <w:szCs w:val="24"/>
        </w:rPr>
        <w:t>30.8%。現時私樓市場租金瘋狂增加，與政府先後</w:t>
      </w:r>
      <w:r w:rsidRPr="00E90CC1">
        <w:rPr>
          <w:rFonts w:asciiTheme="majorEastAsia" w:eastAsiaTheme="majorEastAsia" w:hAnsiTheme="majorEastAsia" w:hint="eastAsia"/>
          <w:kern w:val="0"/>
          <w:szCs w:val="24"/>
        </w:rPr>
        <w:t>於</w:t>
      </w:r>
      <w:r w:rsidRPr="00E90CC1">
        <w:rPr>
          <w:rFonts w:asciiTheme="majorEastAsia" w:eastAsiaTheme="majorEastAsia" w:hAnsiTheme="majorEastAsia"/>
          <w:kern w:val="0"/>
          <w:szCs w:val="24"/>
        </w:rPr>
        <w:t>1998年及2004年取消租金管制及租住權保障</w:t>
      </w:r>
      <w:r w:rsidRPr="00E90CC1">
        <w:rPr>
          <w:rFonts w:asciiTheme="majorEastAsia" w:eastAsiaTheme="majorEastAsia" w:hAnsiTheme="majorEastAsia" w:hint="eastAsia"/>
          <w:kern w:val="0"/>
          <w:szCs w:val="24"/>
        </w:rPr>
        <w:t>有莫大關連。</w:t>
      </w:r>
      <w:r w:rsidRPr="00E90CC1">
        <w:rPr>
          <w:rFonts w:asciiTheme="majorEastAsia" w:eastAsiaTheme="majorEastAsia" w:hAnsiTheme="majorEastAsia" w:hint="eastAsia"/>
          <w:szCs w:val="24"/>
        </w:rPr>
        <w:t>撤銷租金管制後，</w:t>
      </w:r>
      <w:r w:rsidRPr="00E90CC1">
        <w:rPr>
          <w:rFonts w:asciiTheme="majorEastAsia" w:eastAsiaTheme="majorEastAsia" w:hAnsiTheme="majorEastAsia" w:hint="eastAsia"/>
          <w:kern w:val="0"/>
          <w:szCs w:val="24"/>
        </w:rPr>
        <w:t>租金變動全由業主與租客雙方協議。在公屋供應緊張的情況</w:t>
      </w:r>
      <w:r>
        <w:rPr>
          <w:rFonts w:asciiTheme="majorEastAsia" w:eastAsiaTheme="majorEastAsia" w:hAnsiTheme="majorEastAsia" w:hint="eastAsia"/>
          <w:kern w:val="0"/>
          <w:szCs w:val="24"/>
        </w:rPr>
        <w:t>下，劏房需求只會不斷上升。業主在「唔憂租」的前提下自然有更大的議價能</w:t>
      </w:r>
      <w:r w:rsidRPr="00E90CC1">
        <w:rPr>
          <w:rFonts w:asciiTheme="majorEastAsia" w:eastAsiaTheme="majorEastAsia" w:hAnsiTheme="majorEastAsia" w:hint="eastAsia"/>
          <w:kern w:val="0"/>
          <w:szCs w:val="24"/>
        </w:rPr>
        <w:t>力無理增加租金，而基層租戶深諳「一屋難求」</w:t>
      </w:r>
      <w:r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Pr="00E90CC1">
        <w:rPr>
          <w:rFonts w:asciiTheme="majorEastAsia" w:eastAsiaTheme="majorEastAsia" w:hAnsiTheme="majorEastAsia" w:hint="eastAsia"/>
          <w:kern w:val="0"/>
          <w:szCs w:val="24"/>
        </w:rPr>
        <w:t>只好「</w:t>
      </w:r>
      <w:r>
        <w:rPr>
          <w:rFonts w:asciiTheme="majorEastAsia" w:eastAsiaTheme="majorEastAsia" w:hAnsiTheme="majorEastAsia"/>
          <w:kern w:val="0"/>
          <w:szCs w:val="24"/>
        </w:rPr>
        <w:t>肉</w:t>
      </w:r>
      <w:r>
        <w:rPr>
          <w:rFonts w:asciiTheme="majorEastAsia" w:eastAsiaTheme="majorEastAsia" w:hAnsiTheme="majorEastAsia" w:hint="eastAsia"/>
          <w:kern w:val="0"/>
          <w:szCs w:val="24"/>
        </w:rPr>
        <w:t>隨</w:t>
      </w:r>
      <w:r w:rsidRPr="00E90CC1">
        <w:rPr>
          <w:rFonts w:asciiTheme="majorEastAsia" w:eastAsiaTheme="majorEastAsia" w:hAnsiTheme="majorEastAsia"/>
          <w:kern w:val="0"/>
          <w:szCs w:val="24"/>
        </w:rPr>
        <w:t>砧板上</w:t>
      </w:r>
      <w:r w:rsidRPr="00E90CC1">
        <w:rPr>
          <w:rFonts w:asciiTheme="majorEastAsia" w:eastAsiaTheme="majorEastAsia" w:hAnsiTheme="majorEastAsia" w:hint="eastAsia"/>
          <w:kern w:val="0"/>
          <w:szCs w:val="24"/>
        </w:rPr>
        <w:t>」，任由業主宰割。</w:t>
      </w:r>
    </w:p>
    <w:p w:rsidR="00744F20" w:rsidRDefault="00744F20"/>
    <w:p w:rsidR="00B272C2" w:rsidRPr="00241D01" w:rsidRDefault="00B272C2" w:rsidP="00F521A5">
      <w:pPr>
        <w:pStyle w:val="Normal1"/>
        <w:numPr>
          <w:ilvl w:val="0"/>
          <w:numId w:val="3"/>
        </w:numPr>
        <w:spacing w:line="240" w:lineRule="auto"/>
        <w:rPr>
          <w:rFonts w:ascii="新細明體" w:eastAsia="新細明體" w:hAnsi="新細明體"/>
          <w:b/>
          <w:sz w:val="24"/>
          <w:szCs w:val="24"/>
          <w:u w:val="single"/>
        </w:rPr>
      </w:pPr>
      <w:r w:rsidRPr="00241D01">
        <w:rPr>
          <w:rFonts w:ascii="新細明體" w:eastAsia="新細明體" w:hAnsi="新細明體" w:hint="eastAsia"/>
          <w:b/>
          <w:sz w:val="24"/>
          <w:szCs w:val="24"/>
          <w:u w:val="single"/>
        </w:rPr>
        <w:t>公屋政策嚴重傾斜，配額計分上樓無望</w:t>
      </w:r>
    </w:p>
    <w:p w:rsidR="00B272C2" w:rsidRPr="00860B44" w:rsidRDefault="00B272C2" w:rsidP="00B272C2">
      <w:pPr>
        <w:pStyle w:val="Normal1"/>
        <w:spacing w:line="240" w:lineRule="auto"/>
        <w:ind w:firstLine="357"/>
        <w:rPr>
          <w:rFonts w:ascii="新細明體" w:eastAsia="新細明體" w:hAnsi="新細明體" w:cs="微軟正黑體"/>
          <w:sz w:val="24"/>
          <w:szCs w:val="24"/>
        </w:rPr>
      </w:pPr>
      <w:r>
        <w:rPr>
          <w:rFonts w:ascii="新細明體" w:eastAsia="新細明體" w:hAnsi="新細明體" w:cs="微軟正黑體" w:hint="eastAsia"/>
          <w:sz w:val="24"/>
          <w:szCs w:val="24"/>
        </w:rPr>
        <w:t>長</w:t>
      </w:r>
      <w:r w:rsidR="0076641E">
        <w:rPr>
          <w:rFonts w:ascii="新細明體" w:eastAsia="新細明體" w:hAnsi="新細明體" w:cs="微軟正黑體" w:hint="eastAsia"/>
          <w:sz w:val="24"/>
          <w:szCs w:val="24"/>
        </w:rPr>
        <w:t>策</w:t>
      </w:r>
      <w:r>
        <w:rPr>
          <w:rFonts w:ascii="新細明體" w:eastAsia="新細明體" w:hAnsi="新細明體" w:cs="微軟正黑體" w:hint="eastAsia"/>
          <w:sz w:val="24"/>
          <w:szCs w:val="24"/>
        </w:rPr>
        <w:t>會</w:t>
      </w:r>
      <w:r w:rsidR="0076641E">
        <w:rPr>
          <w:rFonts w:ascii="新細明體" w:eastAsia="新細明體" w:hAnsi="新細明體" w:cs="微軟正黑體" w:hint="eastAsia"/>
          <w:sz w:val="24"/>
          <w:szCs w:val="24"/>
        </w:rPr>
        <w:t>當初</w:t>
      </w:r>
      <w:r w:rsidRPr="00AF1389">
        <w:rPr>
          <w:rFonts w:ascii="新細明體" w:eastAsia="新細明體" w:hAnsi="新細明體" w:cs="微軟正黑體" w:hint="eastAsia"/>
          <w:sz w:val="24"/>
          <w:szCs w:val="24"/>
        </w:rPr>
        <w:t>建議｢優化｣配額及計分制，包括增加每年配額，以及向年逾</w:t>
      </w:r>
      <w:r w:rsidRPr="00AF1389">
        <w:rPr>
          <w:rFonts w:ascii="新細明體" w:eastAsia="新細明體" w:hAnsi="新細明體" w:hint="eastAsia"/>
          <w:sz w:val="24"/>
          <w:szCs w:val="24"/>
        </w:rPr>
        <w:t>45</w:t>
      </w:r>
      <w:r w:rsidRPr="00AF1389">
        <w:rPr>
          <w:rFonts w:ascii="新細明體" w:eastAsia="新細明體" w:hAnsi="新細明體" w:cs="微軟正黑體" w:hint="eastAsia"/>
          <w:sz w:val="24"/>
          <w:szCs w:val="24"/>
        </w:rPr>
        <w:t>歲的申請者提供額外分數，並逐步擴展至</w:t>
      </w:r>
      <w:r w:rsidRPr="00AF1389">
        <w:rPr>
          <w:rFonts w:ascii="新細明體" w:eastAsia="新細明體" w:hAnsi="新細明體" w:hint="eastAsia"/>
          <w:sz w:val="24"/>
          <w:szCs w:val="24"/>
        </w:rPr>
        <w:t>35</w:t>
      </w:r>
      <w:r w:rsidRPr="00AF1389">
        <w:rPr>
          <w:rFonts w:ascii="新細明體" w:eastAsia="新細明體" w:hAnsi="新細明體" w:cs="微軟正黑體" w:hint="eastAsia"/>
          <w:sz w:val="24"/>
          <w:szCs w:val="24"/>
        </w:rPr>
        <w:t>歲以上的非長者單身人士等。</w:t>
      </w:r>
      <w:r w:rsidR="0076641E" w:rsidRPr="0076641E">
        <w:rPr>
          <w:rFonts w:ascii="新細明體" w:eastAsia="新細明體" w:hAnsi="新細明體" w:cs="微軟正黑體" w:hint="eastAsia"/>
          <w:sz w:val="24"/>
          <w:szCs w:val="24"/>
        </w:rPr>
        <w:t>但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在</w:t>
      </w:r>
      <w:r w:rsidRPr="0076641E">
        <w:rPr>
          <w:rFonts w:ascii="新細明體" w:eastAsia="新細明體" w:hAnsi="新細明體" w:hint="eastAsia"/>
          <w:sz w:val="24"/>
          <w:szCs w:val="24"/>
        </w:rPr>
        <w:t>2014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年</w:t>
      </w:r>
      <w:r w:rsidRPr="0076641E">
        <w:rPr>
          <w:rFonts w:ascii="新細明體" w:eastAsia="新細明體" w:hAnsi="新細明體" w:hint="eastAsia"/>
          <w:sz w:val="24"/>
          <w:szCs w:val="24"/>
        </w:rPr>
        <w:t>10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月，房委會通過《長遠房屋策略</w:t>
      </w:r>
      <w:r w:rsidR="00574C43">
        <w:rPr>
          <w:rFonts w:ascii="新細明體" w:eastAsia="新細明體" w:hAnsi="新細明體" w:hint="eastAsia"/>
          <w:sz w:val="24"/>
          <w:szCs w:val="24"/>
        </w:rPr>
        <w:t xml:space="preserve">: 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合理分配公共租住房屋資源》文件，修訂配額及計分制，將每年配額上限增至</w:t>
      </w:r>
      <w:r w:rsidRPr="0076641E">
        <w:rPr>
          <w:rFonts w:ascii="新細明體" w:eastAsia="新細明體" w:hAnsi="新細明體" w:hint="eastAsia"/>
          <w:sz w:val="24"/>
          <w:szCs w:val="24"/>
        </w:rPr>
        <w:t>2,200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個、申請時年齡每增一歲增加至</w:t>
      </w:r>
      <w:r w:rsidRPr="0076641E">
        <w:rPr>
          <w:rFonts w:ascii="新細明體" w:eastAsia="新細明體" w:hAnsi="新細明體" w:hint="eastAsia"/>
          <w:sz w:val="24"/>
          <w:szCs w:val="24"/>
        </w:rPr>
        <w:t>9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分、向年屆</w:t>
      </w:r>
      <w:r w:rsidRPr="0076641E">
        <w:rPr>
          <w:rFonts w:ascii="新細明體" w:eastAsia="新細明體" w:hAnsi="新細明體" w:hint="eastAsia"/>
          <w:sz w:val="24"/>
          <w:szCs w:val="24"/>
        </w:rPr>
        <w:t>45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歲申請人一次性加</w:t>
      </w:r>
      <w:r w:rsidRPr="0076641E">
        <w:rPr>
          <w:rFonts w:ascii="新細明體" w:eastAsia="新細明體" w:hAnsi="新細明體" w:hint="eastAsia"/>
          <w:sz w:val="24"/>
          <w:szCs w:val="24"/>
        </w:rPr>
        <w:t>60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分等，並在</w:t>
      </w:r>
      <w:r w:rsidRPr="0076641E">
        <w:rPr>
          <w:rFonts w:ascii="新細明體" w:eastAsia="新細明體" w:hAnsi="新細明體" w:hint="eastAsia"/>
          <w:sz w:val="24"/>
          <w:szCs w:val="24"/>
        </w:rPr>
        <w:t>2015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年</w:t>
      </w:r>
      <w:r w:rsidRPr="0076641E">
        <w:rPr>
          <w:rFonts w:ascii="新細明體" w:eastAsia="新細明體" w:hAnsi="新細明體" w:hint="eastAsia"/>
          <w:sz w:val="24"/>
          <w:szCs w:val="24"/>
        </w:rPr>
        <w:t>2</w:t>
      </w:r>
      <w:r w:rsidRPr="0076641E">
        <w:rPr>
          <w:rFonts w:ascii="新細明體" w:eastAsia="新細明體" w:hAnsi="新細明體" w:cs="微軟正黑體" w:hint="eastAsia"/>
          <w:sz w:val="24"/>
          <w:szCs w:val="24"/>
        </w:rPr>
        <w:t>月生效。</w:t>
      </w:r>
      <w:r w:rsidRPr="00AF1389">
        <w:rPr>
          <w:rFonts w:ascii="新細明體" w:eastAsia="新細明體" w:hAnsi="新細明體" w:hint="eastAsia"/>
          <w:sz w:val="24"/>
          <w:szCs w:val="24"/>
        </w:rPr>
        <w:t>可是，是次修訂</w:t>
      </w:r>
      <w:r w:rsidRPr="00AF1389">
        <w:rPr>
          <w:rFonts w:ascii="新細明體" w:eastAsia="新細明體" w:hAnsi="新細明體" w:cs="微軟正黑體" w:hint="eastAsia"/>
          <w:sz w:val="24"/>
          <w:szCs w:val="24"/>
        </w:rPr>
        <w:t>只增加每年最多</w:t>
      </w:r>
      <w:r w:rsidRPr="00AF1389">
        <w:rPr>
          <w:rFonts w:ascii="新細明體" w:eastAsia="新細明體" w:hAnsi="新細明體" w:hint="eastAsia"/>
          <w:sz w:val="24"/>
          <w:szCs w:val="24"/>
        </w:rPr>
        <w:t>200</w:t>
      </w:r>
      <w:r w:rsidRPr="00AF1389">
        <w:rPr>
          <w:rFonts w:ascii="新細明體" w:eastAsia="新細明體" w:hAnsi="新細明體" w:cs="微軟正黑體" w:hint="eastAsia"/>
          <w:sz w:val="24"/>
          <w:szCs w:val="24"/>
        </w:rPr>
        <w:t>個公屋配額，但將計分制進一步修訂至以年齡因素作為分配公屋準則的重要考量，</w:t>
      </w:r>
      <w:r w:rsidRPr="00AF1389">
        <w:rPr>
          <w:rFonts w:ascii="新細明體" w:eastAsia="新細明體" w:hAnsi="新細明體" w:cs="微軟正黑體" w:hint="eastAsia"/>
          <w:b/>
          <w:sz w:val="24"/>
          <w:szCs w:val="24"/>
        </w:rPr>
        <w:t>而漠視一眾單身人士的住屋需要，動輒需要輪候數十年方獲配屋的機會，令輪候人士上樓無期。</w:t>
      </w:r>
      <w:r w:rsidR="0076641E" w:rsidRPr="0076641E">
        <w:rPr>
          <w:rFonts w:ascii="新細明體" w:eastAsia="新細明體" w:hAnsi="新細明體" w:cs="微軟正黑體" w:hint="eastAsia"/>
          <w:sz w:val="24"/>
          <w:szCs w:val="24"/>
        </w:rPr>
        <w:t>可是，今次長策進度報告繼續忽視單身需要，隻字不提，令人懷疑政府對處理單身人士需要的決心。</w:t>
      </w:r>
    </w:p>
    <w:p w:rsidR="00B272C2" w:rsidRPr="003F7DF1" w:rsidRDefault="00B272C2" w:rsidP="00B272C2">
      <w:pPr>
        <w:pStyle w:val="Normal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d"/>
        <w:tblpPr w:leftFromText="180" w:rightFromText="180" w:vertAnchor="text" w:horzAnchor="margin" w:tblpY="62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B272C2" w:rsidRPr="00E90CC1" w:rsidTr="00B272C2">
        <w:tc>
          <w:tcPr>
            <w:tcW w:w="10485" w:type="dxa"/>
            <w:gridSpan w:val="2"/>
          </w:tcPr>
          <w:p w:rsidR="00B272C2" w:rsidRPr="00E90CC1" w:rsidRDefault="00B272C2" w:rsidP="002C756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b/>
                <w:szCs w:val="24"/>
              </w:rPr>
              <w:t>政策建議</w:t>
            </w:r>
          </w:p>
        </w:tc>
      </w:tr>
      <w:tr w:rsidR="00B272C2" w:rsidRPr="00E90CC1" w:rsidTr="00B272C2">
        <w:tc>
          <w:tcPr>
            <w:tcW w:w="1838" w:type="dxa"/>
          </w:tcPr>
          <w:p w:rsidR="00B272C2" w:rsidRPr="00E90CC1" w:rsidRDefault="00B272C2" w:rsidP="002C7561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b/>
                <w:szCs w:val="24"/>
              </w:rPr>
              <w:t>範疇</w:t>
            </w:r>
          </w:p>
        </w:tc>
        <w:tc>
          <w:tcPr>
            <w:tcW w:w="8647" w:type="dxa"/>
          </w:tcPr>
          <w:p w:rsidR="00B272C2" w:rsidRPr="00E90CC1" w:rsidRDefault="00B272C2" w:rsidP="002C7561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b/>
                <w:szCs w:val="24"/>
              </w:rPr>
              <w:t>建議</w:t>
            </w:r>
          </w:p>
        </w:tc>
      </w:tr>
      <w:tr w:rsidR="00B272C2" w:rsidRPr="00E90CC1" w:rsidTr="00B272C2">
        <w:tc>
          <w:tcPr>
            <w:tcW w:w="1838" w:type="dxa"/>
          </w:tcPr>
          <w:p w:rsidR="00B272C2" w:rsidRPr="00E90CC1" w:rsidRDefault="00B272C2" w:rsidP="002C7561">
            <w:pPr>
              <w:jc w:val="both"/>
              <w:rPr>
                <w:rFonts w:asciiTheme="majorEastAsia" w:eastAsiaTheme="majorEastAsia" w:hAnsiTheme="majorEastAsia" w:cs="Mangal"/>
                <w:b/>
                <w:szCs w:val="24"/>
                <w:cs/>
              </w:rPr>
            </w:pPr>
            <w:r w:rsidRPr="00E90CC1">
              <w:rPr>
                <w:rFonts w:asciiTheme="majorEastAsia" w:eastAsiaTheme="majorEastAsia" w:hAnsiTheme="majorEastAsia" w:hint="eastAsia"/>
                <w:b/>
                <w:szCs w:val="24"/>
              </w:rPr>
              <w:t>整體公屋供應</w:t>
            </w:r>
          </w:p>
        </w:tc>
        <w:tc>
          <w:tcPr>
            <w:tcW w:w="8647" w:type="dxa"/>
          </w:tcPr>
          <w:p w:rsidR="00B272C2" w:rsidRPr="00E90CC1" w:rsidRDefault="00B272C2" w:rsidP="00B272C2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szCs w:val="24"/>
              </w:rPr>
              <w:t>增建公屋至平均每年35, 000落成量的水平</w:t>
            </w:r>
          </w:p>
          <w:p w:rsidR="00B272C2" w:rsidRPr="00E90CC1" w:rsidRDefault="00B272C2" w:rsidP="00B272C2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  <w:cs/>
              </w:rPr>
            </w:pPr>
            <w:r w:rsidRPr="00E90CC1">
              <w:rPr>
                <w:rFonts w:asciiTheme="majorEastAsia" w:eastAsiaTheme="majorEastAsia" w:hAnsiTheme="majorEastAsia" w:hint="eastAsia"/>
                <w:szCs w:val="24"/>
              </w:rPr>
              <w:t>重新檢視長遠房屋策略進度，將公屋輪候冊數字納入住屋需求</w:t>
            </w:r>
          </w:p>
        </w:tc>
      </w:tr>
      <w:tr w:rsidR="00241D01" w:rsidRPr="00E90CC1" w:rsidTr="00B272C2">
        <w:tc>
          <w:tcPr>
            <w:tcW w:w="1838" w:type="dxa"/>
          </w:tcPr>
          <w:p w:rsidR="00241D01" w:rsidRPr="00E90CC1" w:rsidRDefault="00241D01" w:rsidP="00241D01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b/>
                <w:szCs w:val="24"/>
              </w:rPr>
              <w:t>過渡性房屋</w:t>
            </w:r>
          </w:p>
        </w:tc>
        <w:tc>
          <w:tcPr>
            <w:tcW w:w="8647" w:type="dxa"/>
          </w:tcPr>
          <w:p w:rsidR="00241D01" w:rsidRDefault="00241D01" w:rsidP="00241D01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公屋不足情況下，</w:t>
            </w:r>
            <w:r w:rsidRPr="00E90CC1">
              <w:rPr>
                <w:rFonts w:asciiTheme="majorEastAsia" w:eastAsiaTheme="majorEastAsia" w:hAnsiTheme="majorEastAsia" w:hint="eastAsia"/>
                <w:szCs w:val="24"/>
              </w:rPr>
              <w:t>提供過渡性房屋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作中短期補救措施</w:t>
            </w:r>
          </w:p>
          <w:p w:rsidR="00241D01" w:rsidRDefault="00241D01" w:rsidP="00241D01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檢視全港｢政府、機構或社區用地｣(GIC)，在未有發展方案前可</w:t>
            </w:r>
            <w:r w:rsidR="001D4CDF">
              <w:rPr>
                <w:rFonts w:asciiTheme="majorEastAsia" w:eastAsiaTheme="majorEastAsia" w:hAnsiTheme="majorEastAsia" w:hint="eastAsia"/>
                <w:szCs w:val="24"/>
              </w:rPr>
              <w:t>考</w:t>
            </w:r>
            <w:r w:rsidR="000659D3">
              <w:rPr>
                <w:rFonts w:asciiTheme="majorEastAsia" w:eastAsiaTheme="majorEastAsia" w:hAnsiTheme="majorEastAsia" w:hint="eastAsia"/>
                <w:szCs w:val="24"/>
              </w:rPr>
              <w:t>慮放寬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作臨時住宿用途</w:t>
            </w:r>
          </w:p>
          <w:p w:rsidR="000659D3" w:rsidRPr="000659D3" w:rsidRDefault="00241D01" w:rsidP="000659D3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儘快檢討空置校舍用途，</w:t>
            </w:r>
            <w:r w:rsidR="000659D3">
              <w:rPr>
                <w:rFonts w:asciiTheme="majorEastAsia" w:eastAsiaTheme="majorEastAsia" w:hAnsiTheme="majorEastAsia" w:hint="eastAsia"/>
                <w:szCs w:val="24"/>
              </w:rPr>
              <w:t>善用土地資源</w:t>
            </w:r>
          </w:p>
        </w:tc>
      </w:tr>
      <w:tr w:rsidR="00241D01" w:rsidRPr="00E90CC1" w:rsidTr="00B272C2">
        <w:tc>
          <w:tcPr>
            <w:tcW w:w="1838" w:type="dxa"/>
          </w:tcPr>
          <w:p w:rsidR="00241D01" w:rsidRDefault="00241D01" w:rsidP="00241D01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非長者</w:t>
            </w:r>
          </w:p>
          <w:p w:rsidR="00241D01" w:rsidRPr="00E90CC1" w:rsidRDefault="00241D01" w:rsidP="00241D01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單身人士</w:t>
            </w:r>
          </w:p>
        </w:tc>
        <w:tc>
          <w:tcPr>
            <w:tcW w:w="8647" w:type="dxa"/>
          </w:tcPr>
          <w:p w:rsidR="00241D01" w:rsidRPr="00E90CC1" w:rsidRDefault="00241D01" w:rsidP="00241D0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szCs w:val="24"/>
              </w:rPr>
              <w:t>重新檢討配額及計分制</w:t>
            </w:r>
          </w:p>
          <w:p w:rsidR="00241D01" w:rsidRPr="00E90CC1" w:rsidRDefault="00241D01" w:rsidP="00241D0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szCs w:val="24"/>
              </w:rPr>
              <w:t>為現時獨居人士提供額外分數</w:t>
            </w:r>
          </w:p>
          <w:p w:rsidR="00241D01" w:rsidRPr="00E90CC1" w:rsidRDefault="00241D01" w:rsidP="00241D0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szCs w:val="24"/>
              </w:rPr>
              <w:t>為非長者單身設｢輪候時間上限｣承諾</w:t>
            </w:r>
          </w:p>
        </w:tc>
      </w:tr>
      <w:tr w:rsidR="00241D01" w:rsidRPr="00E90CC1" w:rsidTr="00B272C2">
        <w:tc>
          <w:tcPr>
            <w:tcW w:w="1838" w:type="dxa"/>
          </w:tcPr>
          <w:p w:rsidR="00241D01" w:rsidRPr="00E90CC1" w:rsidRDefault="00241D01" w:rsidP="00241D01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b/>
                <w:szCs w:val="24"/>
              </w:rPr>
              <w:t>租務管制</w:t>
            </w:r>
          </w:p>
        </w:tc>
        <w:tc>
          <w:tcPr>
            <w:tcW w:w="8647" w:type="dxa"/>
          </w:tcPr>
          <w:p w:rsidR="00241D01" w:rsidRPr="00E90CC1" w:rsidRDefault="00241D01" w:rsidP="00241D01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szCs w:val="24"/>
              </w:rPr>
              <w:t>重訂租務管制，租金升幅限制在兩年內升租不能超過18%</w:t>
            </w:r>
          </w:p>
          <w:p w:rsidR="00241D01" w:rsidRPr="00E90CC1" w:rsidRDefault="00241D01" w:rsidP="00241D01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90CC1">
              <w:rPr>
                <w:rFonts w:asciiTheme="majorEastAsia" w:eastAsiaTheme="majorEastAsia" w:hAnsiTheme="majorEastAsia" w:hint="eastAsia"/>
                <w:szCs w:val="24"/>
              </w:rPr>
              <w:t>設一負責全港租務事宜之部門、或賦予差餉物業估價署權責，以確立«業主與租客(綜合)條例»作為一切租約必須依從的根本條例，扭轉業主與租客地位失衡的情況</w:t>
            </w:r>
          </w:p>
        </w:tc>
      </w:tr>
    </w:tbl>
    <w:p w:rsidR="00B272C2" w:rsidRDefault="00B272C2" w:rsidP="0018433C">
      <w:pPr>
        <w:spacing w:line="120" w:lineRule="atLeast"/>
        <w:jc w:val="right"/>
      </w:pPr>
    </w:p>
    <w:p w:rsidR="00B272C2" w:rsidRDefault="00B272C2" w:rsidP="0018433C">
      <w:pPr>
        <w:spacing w:line="120" w:lineRule="atLeast"/>
        <w:jc w:val="right"/>
      </w:pPr>
    </w:p>
    <w:p w:rsidR="0018433C" w:rsidRDefault="0018433C" w:rsidP="0018433C">
      <w:pPr>
        <w:spacing w:line="120" w:lineRule="atLeast"/>
        <w:jc w:val="right"/>
      </w:pPr>
      <w:r>
        <w:rPr>
          <w:rFonts w:hint="eastAsia"/>
        </w:rPr>
        <w:t>香港社區組織協會</w:t>
      </w:r>
      <w:r>
        <w:rPr>
          <w:rFonts w:hint="eastAsia"/>
        </w:rPr>
        <w:t>(</w:t>
      </w:r>
      <w:proofErr w:type="spellStart"/>
      <w:r>
        <w:rPr>
          <w:rFonts w:hint="eastAsia"/>
        </w:rPr>
        <w:t>SoCO</w:t>
      </w:r>
      <w:proofErr w:type="spellEnd"/>
      <w:r>
        <w:rPr>
          <w:rFonts w:hint="eastAsia"/>
        </w:rPr>
        <w:t>)</w:t>
      </w:r>
    </w:p>
    <w:p w:rsidR="00105EA6" w:rsidRPr="003407B3" w:rsidRDefault="0018433C" w:rsidP="00F578DA">
      <w:r>
        <w:rPr>
          <w:rFonts w:hint="eastAsia"/>
        </w:rPr>
        <w:t>二零一五年十二月十</w:t>
      </w:r>
      <w:r w:rsidR="00105EA6">
        <w:rPr>
          <w:rFonts w:hint="eastAsia"/>
        </w:rPr>
        <w:t>八</w:t>
      </w:r>
      <w:r w:rsidR="007E1CBE">
        <w:rPr>
          <w:rFonts w:hint="eastAsia"/>
        </w:rPr>
        <w:t>日</w:t>
      </w:r>
      <w:r w:rsidR="00F4077F">
        <w:tab/>
      </w:r>
      <w:bookmarkStart w:id="0" w:name="_GoBack"/>
      <w:bookmarkEnd w:id="0"/>
    </w:p>
    <w:sectPr w:rsidR="00105EA6" w:rsidRPr="003407B3" w:rsidSect="004F46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10" w:rsidRDefault="00F50C10" w:rsidP="001F2FBD">
      <w:r>
        <w:separator/>
      </w:r>
    </w:p>
  </w:endnote>
  <w:endnote w:type="continuationSeparator" w:id="0">
    <w:p w:rsidR="00F50C10" w:rsidRDefault="00F50C10" w:rsidP="001F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10" w:rsidRDefault="00F50C10" w:rsidP="001F2FBD">
      <w:r>
        <w:separator/>
      </w:r>
    </w:p>
  </w:footnote>
  <w:footnote w:type="continuationSeparator" w:id="0">
    <w:p w:rsidR="00F50C10" w:rsidRDefault="00F50C10" w:rsidP="001F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616"/>
    <w:multiLevelType w:val="hybridMultilevel"/>
    <w:tmpl w:val="A75CEAFE"/>
    <w:lvl w:ilvl="0" w:tplc="AC303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6568C"/>
    <w:multiLevelType w:val="hybridMultilevel"/>
    <w:tmpl w:val="8946C8EC"/>
    <w:lvl w:ilvl="0" w:tplc="971EE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EF6320"/>
    <w:multiLevelType w:val="hybridMultilevel"/>
    <w:tmpl w:val="0F0CC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33408E"/>
    <w:multiLevelType w:val="hybridMultilevel"/>
    <w:tmpl w:val="3F4A5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125A36"/>
    <w:multiLevelType w:val="hybridMultilevel"/>
    <w:tmpl w:val="CC601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6EA4684"/>
    <w:multiLevelType w:val="hybridMultilevel"/>
    <w:tmpl w:val="D73E1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F176AB8"/>
    <w:multiLevelType w:val="hybridMultilevel"/>
    <w:tmpl w:val="D09803A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8B"/>
    <w:rsid w:val="00026377"/>
    <w:rsid w:val="000415A1"/>
    <w:rsid w:val="00043E60"/>
    <w:rsid w:val="000623D6"/>
    <w:rsid w:val="000659D3"/>
    <w:rsid w:val="000F20C7"/>
    <w:rsid w:val="00105EA6"/>
    <w:rsid w:val="001070F4"/>
    <w:rsid w:val="00141D59"/>
    <w:rsid w:val="001539B9"/>
    <w:rsid w:val="00175634"/>
    <w:rsid w:val="0018433C"/>
    <w:rsid w:val="001D4CDF"/>
    <w:rsid w:val="001F2FBD"/>
    <w:rsid w:val="00241D01"/>
    <w:rsid w:val="00242A1B"/>
    <w:rsid w:val="002569A0"/>
    <w:rsid w:val="0027577A"/>
    <w:rsid w:val="00285341"/>
    <w:rsid w:val="002955E6"/>
    <w:rsid w:val="003407B3"/>
    <w:rsid w:val="00351079"/>
    <w:rsid w:val="003900CE"/>
    <w:rsid w:val="00390CE3"/>
    <w:rsid w:val="004476F4"/>
    <w:rsid w:val="00462F7B"/>
    <w:rsid w:val="004E625D"/>
    <w:rsid w:val="004F46E8"/>
    <w:rsid w:val="00574C43"/>
    <w:rsid w:val="005B0DE8"/>
    <w:rsid w:val="005B248B"/>
    <w:rsid w:val="005B622E"/>
    <w:rsid w:val="005C08A1"/>
    <w:rsid w:val="006020C1"/>
    <w:rsid w:val="0065300C"/>
    <w:rsid w:val="00670C34"/>
    <w:rsid w:val="006D1549"/>
    <w:rsid w:val="006D1797"/>
    <w:rsid w:val="006D45E5"/>
    <w:rsid w:val="00744F20"/>
    <w:rsid w:val="0076641E"/>
    <w:rsid w:val="007E1CBE"/>
    <w:rsid w:val="0080096E"/>
    <w:rsid w:val="008759D2"/>
    <w:rsid w:val="008E13CC"/>
    <w:rsid w:val="00966F61"/>
    <w:rsid w:val="009841F2"/>
    <w:rsid w:val="009B0249"/>
    <w:rsid w:val="009E2524"/>
    <w:rsid w:val="00A61DE2"/>
    <w:rsid w:val="00B16BC4"/>
    <w:rsid w:val="00B272C2"/>
    <w:rsid w:val="00B82319"/>
    <w:rsid w:val="00BD2704"/>
    <w:rsid w:val="00C5090F"/>
    <w:rsid w:val="00CA1441"/>
    <w:rsid w:val="00CF42B4"/>
    <w:rsid w:val="00E53E2F"/>
    <w:rsid w:val="00F4077F"/>
    <w:rsid w:val="00F50C10"/>
    <w:rsid w:val="00F521A5"/>
    <w:rsid w:val="00F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9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8A1"/>
    <w:rPr>
      <w:color w:val="954F72" w:themeColor="followedHyperlink"/>
      <w:u w:val="single"/>
    </w:rPr>
  </w:style>
  <w:style w:type="paragraph" w:customStyle="1" w:styleId="1">
    <w:name w:val="清單段落1"/>
    <w:basedOn w:val="a"/>
    <w:qFormat/>
    <w:rsid w:val="001F2FB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1F2FBD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1F2F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2FBD"/>
    <w:rPr>
      <w:vertAlign w:val="superscript"/>
    </w:rPr>
  </w:style>
  <w:style w:type="paragraph" w:styleId="a8">
    <w:name w:val="List Paragraph"/>
    <w:basedOn w:val="a"/>
    <w:uiPriority w:val="34"/>
    <w:qFormat/>
    <w:rsid w:val="001F2FBD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57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578D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7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578DA"/>
    <w:rPr>
      <w:sz w:val="20"/>
      <w:szCs w:val="20"/>
    </w:rPr>
  </w:style>
  <w:style w:type="table" w:styleId="ad">
    <w:name w:val="Table Grid"/>
    <w:basedOn w:val="a1"/>
    <w:uiPriority w:val="39"/>
    <w:rsid w:val="00F5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2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26377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1">
    <w:name w:val="Normal1"/>
    <w:rsid w:val="00105EA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9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8A1"/>
    <w:rPr>
      <w:color w:val="954F72" w:themeColor="followedHyperlink"/>
      <w:u w:val="single"/>
    </w:rPr>
  </w:style>
  <w:style w:type="paragraph" w:customStyle="1" w:styleId="1">
    <w:name w:val="清單段落1"/>
    <w:basedOn w:val="a"/>
    <w:qFormat/>
    <w:rsid w:val="001F2FB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1F2FBD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1F2F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2FBD"/>
    <w:rPr>
      <w:vertAlign w:val="superscript"/>
    </w:rPr>
  </w:style>
  <w:style w:type="paragraph" w:styleId="a8">
    <w:name w:val="List Paragraph"/>
    <w:basedOn w:val="a"/>
    <w:uiPriority w:val="34"/>
    <w:qFormat/>
    <w:rsid w:val="001F2FBD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57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578D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7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578DA"/>
    <w:rPr>
      <w:sz w:val="20"/>
      <w:szCs w:val="20"/>
    </w:rPr>
  </w:style>
  <w:style w:type="table" w:styleId="ad">
    <w:name w:val="Table Grid"/>
    <w:basedOn w:val="a1"/>
    <w:uiPriority w:val="39"/>
    <w:rsid w:val="00F5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2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26377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1">
    <w:name w:val="Normal1"/>
    <w:rsid w:val="00105EA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4C3E-84A0-416C-A8E1-C9A5BD16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SoCO_007</dc:creator>
  <cp:keywords/>
  <dc:description/>
  <cp:lastModifiedBy>Yuen</cp:lastModifiedBy>
  <cp:revision>23</cp:revision>
  <cp:lastPrinted>2015-12-18T10:55:00Z</cp:lastPrinted>
  <dcterms:created xsi:type="dcterms:W3CDTF">2015-12-18T08:46:00Z</dcterms:created>
  <dcterms:modified xsi:type="dcterms:W3CDTF">2015-12-18T11:21:00Z</dcterms:modified>
</cp:coreProperties>
</file>