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ED3" w:rsidRPr="00877695" w:rsidRDefault="001F6A2D" w:rsidP="001F6A2D">
      <w:pPr>
        <w:spacing w:line="276" w:lineRule="auto"/>
        <w:jc w:val="center"/>
        <w:rPr>
          <w:rFonts w:asciiTheme="minorEastAsia" w:hAnsiTheme="minorEastAsia"/>
          <w:sz w:val="27"/>
          <w:szCs w:val="27"/>
        </w:rPr>
      </w:pPr>
      <w:r w:rsidRPr="00877695">
        <w:rPr>
          <w:rFonts w:asciiTheme="minorEastAsia" w:hAnsiTheme="minorEastAsia" w:cs="Times New Roman"/>
          <w:b/>
          <w:sz w:val="27"/>
          <w:szCs w:val="27"/>
        </w:rPr>
        <w:t>香港社區組織協會</w:t>
      </w:r>
      <w:r w:rsidRPr="00877695">
        <w:rPr>
          <w:rFonts w:asciiTheme="minorEastAsia" w:hAnsiTheme="minorEastAsia" w:cs="Times New Roman" w:hint="eastAsia"/>
          <w:b/>
          <w:sz w:val="27"/>
          <w:szCs w:val="27"/>
        </w:rPr>
        <w:t xml:space="preserve">   基層勞工關注組</w:t>
      </w:r>
    </w:p>
    <w:p w:rsidR="00877695" w:rsidRPr="00877695" w:rsidRDefault="00877695" w:rsidP="00877695">
      <w:pPr>
        <w:spacing w:line="276" w:lineRule="auto"/>
        <w:jc w:val="center"/>
        <w:rPr>
          <w:rFonts w:asciiTheme="minorEastAsia" w:hAnsiTheme="minorEastAsia" w:hint="eastAsia"/>
          <w:b/>
          <w:sz w:val="27"/>
          <w:szCs w:val="27"/>
        </w:rPr>
      </w:pPr>
      <w:r w:rsidRPr="00877695">
        <w:rPr>
          <w:rFonts w:asciiTheme="minorEastAsia" w:hAnsiTheme="minorEastAsia" w:hint="eastAsia"/>
          <w:b/>
          <w:sz w:val="27"/>
          <w:szCs w:val="27"/>
        </w:rPr>
        <w:t>就</w:t>
      </w:r>
      <w:r w:rsidRPr="00877695">
        <w:rPr>
          <w:rFonts w:asciiTheme="minorEastAsia" w:hAnsiTheme="minorEastAsia" w:hint="eastAsia"/>
          <w:b/>
          <w:sz w:val="27"/>
          <w:szCs w:val="27"/>
        </w:rPr>
        <w:t>「鼓勵就業交通津貼計劃」檢討及「低收入在職家庭津貼」</w:t>
      </w:r>
    </w:p>
    <w:p w:rsidR="00877695" w:rsidRPr="004330A4" w:rsidRDefault="00877695" w:rsidP="00877695">
      <w:pPr>
        <w:spacing w:line="276" w:lineRule="auto"/>
        <w:jc w:val="center"/>
        <w:rPr>
          <w:rFonts w:asciiTheme="minorEastAsia" w:hAnsiTheme="minorEastAsia"/>
          <w:b/>
          <w:sz w:val="27"/>
          <w:szCs w:val="27"/>
          <w:u w:val="single"/>
        </w:rPr>
      </w:pPr>
      <w:r w:rsidRPr="004330A4">
        <w:rPr>
          <w:rFonts w:asciiTheme="minorEastAsia" w:hAnsiTheme="minorEastAsia" w:hint="eastAsia"/>
          <w:b/>
          <w:sz w:val="27"/>
          <w:szCs w:val="27"/>
          <w:u w:val="single"/>
        </w:rPr>
        <w:t>致立法會議員人力事務委員會意見書</w:t>
      </w:r>
    </w:p>
    <w:p w:rsidR="00877695" w:rsidRDefault="00877695" w:rsidP="004D6B14">
      <w:pPr>
        <w:spacing w:line="276" w:lineRule="auto"/>
        <w:rPr>
          <w:rFonts w:asciiTheme="minorEastAsia" w:hAnsiTheme="minorEastAsia" w:hint="eastAsia"/>
          <w:b/>
          <w:sz w:val="27"/>
          <w:szCs w:val="27"/>
        </w:rPr>
      </w:pPr>
    </w:p>
    <w:p w:rsidR="00877695" w:rsidRPr="00DA2645" w:rsidRDefault="00877695" w:rsidP="00877695">
      <w:pPr>
        <w:spacing w:line="276" w:lineRule="auto"/>
        <w:rPr>
          <w:rFonts w:asciiTheme="minorEastAsia" w:hAnsiTheme="minorEastAsia"/>
          <w:b/>
          <w:sz w:val="27"/>
          <w:szCs w:val="27"/>
        </w:rPr>
      </w:pPr>
      <w:r w:rsidRPr="00DA2645">
        <w:rPr>
          <w:rFonts w:asciiTheme="minorEastAsia" w:hAnsiTheme="minorEastAsia" w:hint="eastAsia"/>
          <w:b/>
          <w:sz w:val="27"/>
          <w:szCs w:val="27"/>
        </w:rPr>
        <w:t>致立法會議員人力事務委員會主席</w:t>
      </w:r>
      <w:proofErr w:type="gramStart"/>
      <w:r w:rsidRPr="00DA2645">
        <w:rPr>
          <w:rFonts w:asciiTheme="minorEastAsia" w:hAnsiTheme="minorEastAsia" w:hint="eastAsia"/>
          <w:b/>
          <w:sz w:val="27"/>
          <w:szCs w:val="27"/>
        </w:rPr>
        <w:t>﹑</w:t>
      </w:r>
      <w:proofErr w:type="gramEnd"/>
      <w:r w:rsidRPr="00DA2645">
        <w:rPr>
          <w:rFonts w:asciiTheme="minorEastAsia" w:hAnsiTheme="minorEastAsia" w:hint="eastAsia"/>
          <w:b/>
          <w:sz w:val="27"/>
          <w:szCs w:val="27"/>
        </w:rPr>
        <w:t>副主席及各委員台</w:t>
      </w:r>
      <w:proofErr w:type="gramStart"/>
      <w:r w:rsidRPr="00DA2645">
        <w:rPr>
          <w:rFonts w:asciiTheme="minorEastAsia" w:hAnsiTheme="minorEastAsia" w:hint="eastAsia"/>
          <w:b/>
          <w:sz w:val="27"/>
          <w:szCs w:val="27"/>
        </w:rPr>
        <w:t>鑑</w:t>
      </w:r>
      <w:proofErr w:type="gramEnd"/>
      <w:r w:rsidRPr="00DA2645">
        <w:rPr>
          <w:rFonts w:asciiTheme="minorEastAsia" w:hAnsiTheme="minorEastAsia" w:hint="eastAsia"/>
          <w:b/>
          <w:sz w:val="27"/>
          <w:szCs w:val="27"/>
        </w:rPr>
        <w:t xml:space="preserve"> :</w:t>
      </w:r>
    </w:p>
    <w:p w:rsidR="00877695" w:rsidRPr="00877695" w:rsidRDefault="00877695" w:rsidP="004D6B14">
      <w:pPr>
        <w:spacing w:line="276" w:lineRule="auto"/>
        <w:rPr>
          <w:rFonts w:asciiTheme="minorEastAsia" w:hAnsiTheme="minorEastAsia"/>
          <w:b/>
          <w:szCs w:val="24"/>
        </w:rPr>
      </w:pPr>
    </w:p>
    <w:p w:rsidR="00194182" w:rsidRDefault="00500E9A" w:rsidP="004D6B14">
      <w:pPr>
        <w:spacing w:line="276" w:lineRule="auto"/>
        <w:jc w:val="center"/>
        <w:rPr>
          <w:rFonts w:asciiTheme="minorEastAsia" w:hAnsiTheme="minorEastAsia"/>
          <w:b/>
          <w:szCs w:val="24"/>
          <w:u w:val="single"/>
        </w:rPr>
      </w:pPr>
      <w:r>
        <w:rPr>
          <w:rFonts w:asciiTheme="minorEastAsia" w:hAnsiTheme="minorEastAsia" w:hint="eastAsia"/>
          <w:b/>
          <w:szCs w:val="24"/>
          <w:u w:val="single"/>
        </w:rPr>
        <w:t>對</w:t>
      </w:r>
      <w:r w:rsidR="00FA3ED3" w:rsidRPr="00FA3ED3">
        <w:rPr>
          <w:rFonts w:asciiTheme="minorEastAsia" w:hAnsiTheme="minorEastAsia" w:hint="eastAsia"/>
          <w:b/>
          <w:szCs w:val="24"/>
          <w:u w:val="single"/>
        </w:rPr>
        <w:t>「</w:t>
      </w:r>
      <w:r w:rsidR="00FA3ED3" w:rsidRPr="00081A95">
        <w:rPr>
          <w:rFonts w:asciiTheme="minorEastAsia" w:hAnsiTheme="minorEastAsia" w:hint="eastAsia"/>
          <w:b/>
          <w:szCs w:val="24"/>
          <w:u w:val="single"/>
        </w:rPr>
        <w:t>鼓勵就業交通津貼計劃</w:t>
      </w:r>
      <w:r w:rsidR="00FA3ED3" w:rsidRPr="00FA3ED3">
        <w:rPr>
          <w:rFonts w:asciiTheme="minorEastAsia" w:hAnsiTheme="minorEastAsia" w:hint="eastAsia"/>
          <w:b/>
          <w:szCs w:val="24"/>
          <w:u w:val="single"/>
        </w:rPr>
        <w:t>」</w:t>
      </w:r>
      <w:r w:rsidR="00C95C82" w:rsidRPr="00081A95">
        <w:rPr>
          <w:rFonts w:asciiTheme="minorEastAsia" w:hAnsiTheme="minorEastAsia" w:hint="eastAsia"/>
          <w:b/>
          <w:szCs w:val="24"/>
          <w:u w:val="single"/>
        </w:rPr>
        <w:t>檢討</w:t>
      </w:r>
      <w:r w:rsidR="00FA3ED3">
        <w:rPr>
          <w:rFonts w:asciiTheme="minorEastAsia" w:hAnsiTheme="minorEastAsia" w:hint="eastAsia"/>
          <w:b/>
          <w:szCs w:val="24"/>
          <w:u w:val="single"/>
        </w:rPr>
        <w:t xml:space="preserve">  及  「低收入在職家庭津貼」</w:t>
      </w:r>
      <w:r>
        <w:rPr>
          <w:rFonts w:asciiTheme="minorEastAsia" w:hAnsiTheme="minorEastAsia" w:hint="eastAsia"/>
          <w:b/>
          <w:szCs w:val="24"/>
          <w:u w:val="single"/>
        </w:rPr>
        <w:t>意見</w:t>
      </w:r>
      <w:r w:rsidR="00840586" w:rsidRPr="00081A95">
        <w:rPr>
          <w:rFonts w:asciiTheme="minorEastAsia" w:hAnsiTheme="minorEastAsia" w:hint="eastAsia"/>
          <w:b/>
          <w:szCs w:val="24"/>
          <w:u w:val="single"/>
        </w:rPr>
        <w:t>書</w:t>
      </w:r>
    </w:p>
    <w:p w:rsidR="00B27732" w:rsidRDefault="00257A20" w:rsidP="001D1051">
      <w:pPr>
        <w:spacing w:line="276" w:lineRule="auto"/>
        <w:rPr>
          <w:rFonts w:asciiTheme="minorEastAsia" w:hAnsiTheme="minorEastAsia"/>
          <w:szCs w:val="24"/>
        </w:rPr>
      </w:pPr>
      <w:r w:rsidRPr="00081A95">
        <w:rPr>
          <w:rFonts w:asciiTheme="minorEastAsia" w:hAnsiTheme="minorEastAsia" w:hint="eastAsia"/>
          <w:szCs w:val="24"/>
        </w:rPr>
        <w:t xml:space="preserve">  </w:t>
      </w:r>
      <w:r w:rsidR="00B27732">
        <w:rPr>
          <w:rFonts w:asciiTheme="minorEastAsia" w:hAnsiTheme="minorEastAsia" w:hint="eastAsia"/>
          <w:szCs w:val="24"/>
        </w:rPr>
        <w:t xml:space="preserve"> </w:t>
      </w:r>
      <w:r w:rsidR="00B6006A" w:rsidRPr="00081A95">
        <w:rPr>
          <w:rFonts w:asciiTheme="minorEastAsia" w:hAnsiTheme="minorEastAsia" w:hint="eastAsia"/>
          <w:szCs w:val="24"/>
        </w:rPr>
        <w:t>鼓勵就業交通津貼 (</w:t>
      </w:r>
      <w:r w:rsidR="000E582A" w:rsidRPr="00081A95">
        <w:rPr>
          <w:rFonts w:asciiTheme="minorEastAsia" w:hAnsiTheme="minorEastAsia" w:hint="eastAsia"/>
          <w:szCs w:val="24"/>
        </w:rPr>
        <w:t>交津</w:t>
      </w:r>
      <w:r w:rsidR="00B6006A" w:rsidRPr="00081A95">
        <w:rPr>
          <w:rFonts w:asciiTheme="minorEastAsia" w:hAnsiTheme="minorEastAsia" w:hint="eastAsia"/>
          <w:szCs w:val="24"/>
        </w:rPr>
        <w:t>) 計劃目標為協助減輕低收入在職人士</w:t>
      </w:r>
      <w:r w:rsidR="001D1051" w:rsidRPr="001D1051">
        <w:rPr>
          <w:rFonts w:asciiTheme="minorEastAsia" w:hAnsiTheme="minorEastAsia" w:hint="eastAsia"/>
          <w:szCs w:val="24"/>
        </w:rPr>
        <w:t>的生活負擔</w:t>
      </w:r>
      <w:r w:rsidR="00B6006A" w:rsidRPr="00081A95">
        <w:rPr>
          <w:rFonts w:asciiTheme="minorEastAsia" w:hAnsiTheme="minorEastAsia" w:hint="eastAsia"/>
          <w:szCs w:val="24"/>
        </w:rPr>
        <w:t>，並鼓勵他們入職或持續就業。</w:t>
      </w:r>
      <w:r w:rsidR="00B27732" w:rsidRPr="00B27732">
        <w:rPr>
          <w:rFonts w:asciiTheme="minorEastAsia" w:hAnsiTheme="minorEastAsia" w:hint="eastAsia"/>
          <w:szCs w:val="24"/>
        </w:rPr>
        <w:t>10月初，2015扶貧委員會高峰會上發表了2014年貧窮情況分析，</w:t>
      </w:r>
      <w:proofErr w:type="gramStart"/>
      <w:r w:rsidR="00B27732" w:rsidRPr="00B27732">
        <w:rPr>
          <w:rFonts w:asciiTheme="minorEastAsia" w:hAnsiTheme="minorEastAsia" w:hint="eastAsia"/>
          <w:szCs w:val="24"/>
        </w:rPr>
        <w:t>指交津僅</w:t>
      </w:r>
      <w:proofErr w:type="gramEnd"/>
      <w:r w:rsidR="00B27732" w:rsidRPr="00B27732">
        <w:rPr>
          <w:rFonts w:asciiTheme="minorEastAsia" w:hAnsiTheme="minorEastAsia" w:hint="eastAsia"/>
          <w:szCs w:val="24"/>
        </w:rPr>
        <w:t xml:space="preserve">令3627人(1726家庭)脫貧，讓貧窮率下跌0.1% </w:t>
      </w:r>
      <w:r w:rsidR="001E0C96">
        <w:rPr>
          <w:rStyle w:val="ad"/>
          <w:rFonts w:asciiTheme="minorEastAsia" w:hAnsiTheme="minorEastAsia"/>
          <w:szCs w:val="24"/>
        </w:rPr>
        <w:footnoteReference w:id="1"/>
      </w:r>
      <w:r w:rsidR="00B27732" w:rsidRPr="00B27732">
        <w:rPr>
          <w:rFonts w:asciiTheme="minorEastAsia" w:hAnsiTheme="minorEastAsia" w:hint="eastAsia"/>
          <w:szCs w:val="24"/>
        </w:rPr>
        <w:t>(即19.6</w:t>
      </w:r>
      <w:proofErr w:type="gramStart"/>
      <w:r w:rsidR="00B27732" w:rsidRPr="00B27732">
        <w:rPr>
          <w:rFonts w:asciiTheme="minorEastAsia" w:hAnsiTheme="minorEastAsia" w:hint="eastAsia"/>
          <w:szCs w:val="24"/>
        </w:rPr>
        <w:t>﹪</w:t>
      </w:r>
      <w:proofErr w:type="gramEnd"/>
      <w:r w:rsidR="00B27732" w:rsidRPr="00B27732">
        <w:rPr>
          <w:rFonts w:asciiTheme="minorEastAsia" w:hAnsiTheme="minorEastAsia" w:hint="eastAsia"/>
          <w:szCs w:val="24"/>
        </w:rPr>
        <w:t>貧窮率經</w:t>
      </w:r>
      <w:proofErr w:type="gramStart"/>
      <w:r w:rsidR="00B27732" w:rsidRPr="00B27732">
        <w:rPr>
          <w:rFonts w:asciiTheme="minorEastAsia" w:hAnsiTheme="minorEastAsia" w:hint="eastAsia"/>
          <w:szCs w:val="24"/>
        </w:rPr>
        <w:t>恒</w:t>
      </w:r>
      <w:proofErr w:type="gramEnd"/>
      <w:r w:rsidR="00B27732" w:rsidRPr="00B27732">
        <w:rPr>
          <w:rFonts w:asciiTheme="minorEastAsia" w:hAnsiTheme="minorEastAsia" w:hint="eastAsia"/>
          <w:szCs w:val="24"/>
        </w:rPr>
        <w:t>常現金介入下跌至14.3%，當中5%</w:t>
      </w:r>
      <w:proofErr w:type="gramStart"/>
      <w:r w:rsidR="00B27732" w:rsidRPr="00B27732">
        <w:rPr>
          <w:rFonts w:asciiTheme="minorEastAsia" w:hAnsiTheme="minorEastAsia" w:hint="eastAsia"/>
          <w:szCs w:val="24"/>
        </w:rPr>
        <w:t>佔</w:t>
      </w:r>
      <w:proofErr w:type="gramEnd"/>
      <w:r w:rsidR="00B27732" w:rsidRPr="00B27732">
        <w:rPr>
          <w:rFonts w:asciiTheme="minorEastAsia" w:hAnsiTheme="minorEastAsia" w:hint="eastAsia"/>
          <w:szCs w:val="24"/>
        </w:rPr>
        <w:t>貧窮率0.1%)，反映</w:t>
      </w:r>
      <w:proofErr w:type="gramStart"/>
      <w:r w:rsidR="00B27732" w:rsidRPr="00B27732">
        <w:rPr>
          <w:rFonts w:asciiTheme="minorEastAsia" w:hAnsiTheme="minorEastAsia" w:hint="eastAsia"/>
          <w:szCs w:val="24"/>
        </w:rPr>
        <w:t>交津有</w:t>
      </w:r>
      <w:proofErr w:type="gramEnd"/>
      <w:r w:rsidR="005025D5">
        <w:rPr>
          <w:rFonts w:asciiTheme="minorEastAsia" w:hAnsiTheme="minorEastAsia" w:hint="eastAsia"/>
          <w:szCs w:val="24"/>
          <w:lang w:eastAsia="zh-HK"/>
        </w:rPr>
        <w:t>正面的</w:t>
      </w:r>
      <w:r w:rsidR="00B27732" w:rsidRPr="00B27732">
        <w:rPr>
          <w:rFonts w:asciiTheme="minorEastAsia" w:hAnsiTheme="minorEastAsia" w:hint="eastAsia"/>
          <w:szCs w:val="24"/>
        </w:rPr>
        <w:t>扶貧效用。</w:t>
      </w:r>
    </w:p>
    <w:p w:rsidR="006263F4" w:rsidRPr="008F2A35" w:rsidRDefault="008F2A35" w:rsidP="006263F4">
      <w:pPr>
        <w:spacing w:line="276" w:lineRule="auto"/>
        <w:jc w:val="both"/>
        <w:rPr>
          <w:rFonts w:ascii="華康儷粗黑" w:eastAsia="華康儷粗黑" w:hAnsiTheme="minorEastAsia"/>
          <w:b/>
          <w:szCs w:val="24"/>
          <w:u w:val="single"/>
        </w:rPr>
      </w:pPr>
      <w:r w:rsidRPr="008F2A35">
        <w:rPr>
          <w:rFonts w:ascii="華康儷粗黑" w:eastAsia="華康儷粗黑" w:hAnsiTheme="minorEastAsia" w:hint="eastAsia"/>
          <w:b/>
          <w:szCs w:val="24"/>
          <w:u w:val="single"/>
        </w:rPr>
        <w:t>「</w:t>
      </w:r>
      <w:r w:rsidR="006263F4" w:rsidRPr="008F2A35">
        <w:rPr>
          <w:rFonts w:ascii="華康儷粗黑" w:eastAsia="華康儷粗黑" w:hAnsiTheme="minorEastAsia" w:hint="eastAsia"/>
          <w:b/>
          <w:szCs w:val="24"/>
          <w:u w:val="single"/>
        </w:rPr>
        <w:t>交通津貼</w:t>
      </w:r>
      <w:r w:rsidRPr="008F2A35">
        <w:rPr>
          <w:rFonts w:ascii="華康儷粗黑" w:eastAsia="華康儷粗黑" w:hAnsiTheme="minorEastAsia" w:hint="eastAsia"/>
          <w:b/>
          <w:szCs w:val="24"/>
          <w:u w:val="single"/>
        </w:rPr>
        <w:t>」</w:t>
      </w:r>
      <w:r w:rsidR="006263F4" w:rsidRPr="008F2A35">
        <w:rPr>
          <w:rFonts w:ascii="華康儷粗黑" w:eastAsia="華康儷粗黑" w:hAnsiTheme="minorEastAsia" w:hint="eastAsia"/>
          <w:b/>
          <w:szCs w:val="24"/>
          <w:u w:val="single"/>
        </w:rPr>
        <w:t>達標遠不及</w:t>
      </w:r>
      <w:r w:rsidRPr="008F2A35">
        <w:rPr>
          <w:rFonts w:ascii="華康儷粗黑" w:eastAsia="華康儷粗黑" w:hAnsiTheme="minorEastAsia" w:hint="eastAsia"/>
          <w:b/>
          <w:szCs w:val="24"/>
          <w:u w:val="single"/>
          <w:lang w:eastAsia="zh-HK"/>
        </w:rPr>
        <w:t>「</w:t>
      </w:r>
      <w:r w:rsidR="006263F4" w:rsidRPr="008F2A35">
        <w:rPr>
          <w:rFonts w:ascii="華康儷粗黑" w:eastAsia="華康儷粗黑" w:hAnsiTheme="minorEastAsia" w:hint="eastAsia"/>
          <w:b/>
          <w:szCs w:val="24"/>
          <w:u w:val="single"/>
        </w:rPr>
        <w:t>關愛基金</w:t>
      </w:r>
      <w:r w:rsidRPr="008F2A35">
        <w:rPr>
          <w:rFonts w:ascii="華康儷粗黑" w:eastAsia="華康儷粗黑" w:hAnsiTheme="minorEastAsia" w:hint="eastAsia"/>
          <w:b/>
          <w:szCs w:val="24"/>
          <w:u w:val="single"/>
          <w:lang w:eastAsia="zh-HK"/>
        </w:rPr>
        <w:t>」</w:t>
      </w:r>
    </w:p>
    <w:p w:rsidR="006263F4" w:rsidRPr="00E64811" w:rsidRDefault="006263F4" w:rsidP="006263F4">
      <w:pPr>
        <w:spacing w:line="276" w:lineRule="auto"/>
        <w:ind w:firstLineChars="200" w:firstLine="480"/>
        <w:rPr>
          <w:rFonts w:asciiTheme="minorEastAsia" w:hAnsiTheme="minorEastAsia"/>
        </w:rPr>
      </w:pPr>
      <w:r w:rsidRPr="00F1059A">
        <w:rPr>
          <w:rFonts w:asciiTheme="minorEastAsia" w:hAnsiTheme="minorEastAsia" w:hint="eastAsia"/>
          <w:szCs w:val="24"/>
        </w:rPr>
        <w:t>關愛基金為居住環境惡劣的低收入人士提供津貼</w:t>
      </w:r>
      <w:r w:rsidRPr="00F1059A">
        <w:rPr>
          <w:rFonts w:asciiTheme="minorEastAsia" w:hAnsiTheme="minorEastAsia" w:hint="eastAsia"/>
          <w:szCs w:val="24"/>
          <w:lang w:eastAsia="zh-HK"/>
        </w:rPr>
        <w:t>於2012年推出，</w:t>
      </w:r>
      <w:r w:rsidRPr="00F1059A">
        <w:rPr>
          <w:rFonts w:asciiTheme="minorEastAsia" w:hAnsiTheme="minorEastAsia" w:hint="eastAsia"/>
          <w:szCs w:val="24"/>
        </w:rPr>
        <w:t>關愛基金(N無人士生活津貼</w:t>
      </w:r>
      <w:r w:rsidRPr="00F1059A">
        <w:rPr>
          <w:rFonts w:asciiTheme="minorEastAsia" w:hAnsiTheme="minorEastAsia" w:hint="eastAsia"/>
          <w:szCs w:val="24"/>
          <w:lang w:eastAsia="zh-HK"/>
        </w:rPr>
        <w:t>推</w:t>
      </w:r>
      <w:r w:rsidRPr="00F1059A">
        <w:rPr>
          <w:rFonts w:asciiTheme="minorEastAsia" w:hAnsiTheme="minorEastAsia" w:hint="eastAsia"/>
          <w:szCs w:val="24"/>
        </w:rPr>
        <w:t>行</w:t>
      </w:r>
      <w:r w:rsidRPr="00F1059A">
        <w:rPr>
          <w:rFonts w:asciiTheme="minorEastAsia" w:hAnsiTheme="minorEastAsia" w:hint="eastAsia"/>
          <w:szCs w:val="24"/>
          <w:lang w:eastAsia="zh-HK"/>
        </w:rPr>
        <w:t>兩期，第一期項目原預計受惠住戶數約78</w:t>
      </w:r>
      <w:r w:rsidR="00B517D4">
        <w:rPr>
          <w:rFonts w:asciiTheme="minorEastAsia" w:hAnsiTheme="minorEastAsia" w:hint="eastAsia"/>
          <w:szCs w:val="24"/>
          <w:lang w:eastAsia="zh-HK"/>
        </w:rPr>
        <w:t>，</w:t>
      </w:r>
      <w:r w:rsidRPr="00F1059A">
        <w:rPr>
          <w:rFonts w:asciiTheme="minorEastAsia" w:hAnsiTheme="minorEastAsia" w:hint="eastAsia"/>
          <w:szCs w:val="24"/>
          <w:lang w:eastAsia="zh-HK"/>
        </w:rPr>
        <w:t>700個（超過21萬人受惠），</w:t>
      </w:r>
      <w:r w:rsidRPr="00DE1920">
        <w:rPr>
          <w:rFonts w:asciiTheme="minorEastAsia" w:hAnsiTheme="minorEastAsia" w:hint="eastAsia"/>
          <w:szCs w:val="24"/>
          <w:lang w:eastAsia="zh-HK"/>
        </w:rPr>
        <w:t>第一期</w:t>
      </w:r>
      <w:r w:rsidRPr="00F1059A">
        <w:rPr>
          <w:rFonts w:asciiTheme="minorEastAsia" w:hAnsiTheme="minorEastAsia" w:hint="eastAsia"/>
          <w:szCs w:val="24"/>
          <w:lang w:eastAsia="zh-HK"/>
        </w:rPr>
        <w:t>最終申請數目約</w:t>
      </w:r>
      <w:r w:rsidRPr="00F1059A">
        <w:rPr>
          <w:rFonts w:asciiTheme="minorEastAsia" w:hAnsiTheme="minorEastAsia"/>
          <w:szCs w:val="24"/>
          <w:lang w:eastAsia="zh-HK"/>
        </w:rPr>
        <w:t>38</w:t>
      </w:r>
      <w:r w:rsidR="00B517D4">
        <w:rPr>
          <w:rFonts w:asciiTheme="minorEastAsia" w:hAnsiTheme="minorEastAsia"/>
          <w:szCs w:val="24"/>
          <w:lang w:eastAsia="zh-HK"/>
        </w:rPr>
        <w:t>，</w:t>
      </w:r>
      <w:r w:rsidRPr="00F1059A">
        <w:rPr>
          <w:rFonts w:asciiTheme="minorEastAsia" w:hAnsiTheme="minorEastAsia"/>
          <w:szCs w:val="24"/>
          <w:lang w:eastAsia="zh-HK"/>
        </w:rPr>
        <w:t>546</w:t>
      </w:r>
      <w:r>
        <w:rPr>
          <w:rStyle w:val="ad"/>
          <w:rFonts w:asciiTheme="minorEastAsia" w:hAnsiTheme="minorEastAsia"/>
          <w:szCs w:val="24"/>
          <w:lang w:eastAsia="zh-HK"/>
        </w:rPr>
        <w:footnoteReference w:id="2"/>
      </w:r>
      <w:r w:rsidRPr="00F1059A">
        <w:rPr>
          <w:rFonts w:asciiTheme="minorEastAsia" w:hAnsiTheme="minorEastAsia" w:hint="eastAsia"/>
          <w:szCs w:val="24"/>
          <w:lang w:eastAsia="zh-HK"/>
        </w:rPr>
        <w:t>，即約49%人士申請。</w:t>
      </w:r>
      <w:r w:rsidRPr="00F1059A">
        <w:rPr>
          <w:rFonts w:asciiTheme="minorEastAsia" w:hAnsiTheme="minorEastAsia"/>
        </w:rPr>
        <w:t>再推項目</w:t>
      </w:r>
      <w:proofErr w:type="gramStart"/>
      <w:r w:rsidRPr="00DE1920">
        <w:rPr>
          <w:rFonts w:asciiTheme="minorEastAsia" w:hAnsiTheme="minorEastAsia" w:hint="eastAsia"/>
        </w:rPr>
        <w:t>第</w:t>
      </w:r>
      <w:r>
        <w:rPr>
          <w:rFonts w:asciiTheme="minorEastAsia" w:hAnsiTheme="minorEastAsia" w:hint="eastAsia"/>
          <w:lang w:eastAsia="zh-HK"/>
        </w:rPr>
        <w:t>二</w:t>
      </w:r>
      <w:r w:rsidRPr="00DE1920">
        <w:rPr>
          <w:rFonts w:asciiTheme="minorEastAsia" w:hAnsiTheme="minorEastAsia" w:hint="eastAsia"/>
        </w:rPr>
        <w:t>期</w:t>
      </w:r>
      <w:r w:rsidRPr="00F1059A">
        <w:rPr>
          <w:rFonts w:asciiTheme="minorEastAsia" w:hAnsiTheme="minorEastAsia"/>
        </w:rPr>
        <w:t>原預計</w:t>
      </w:r>
      <w:proofErr w:type="gramEnd"/>
      <w:r w:rsidRPr="00F1059A">
        <w:rPr>
          <w:rFonts w:asciiTheme="minorEastAsia" w:hAnsiTheme="minorEastAsia"/>
        </w:rPr>
        <w:t>受惠住戶數目約53</w:t>
      </w:r>
      <w:r w:rsidR="00B517D4">
        <w:rPr>
          <w:rFonts w:asciiTheme="minorEastAsia" w:hAnsiTheme="minorEastAsia"/>
        </w:rPr>
        <w:t>，</w:t>
      </w:r>
      <w:r w:rsidRPr="00F1059A">
        <w:rPr>
          <w:rFonts w:asciiTheme="minorEastAsia" w:hAnsiTheme="minorEastAsia"/>
        </w:rPr>
        <w:t>140</w:t>
      </w:r>
      <w:r w:rsidRPr="00F1059A">
        <w:rPr>
          <w:rFonts w:asciiTheme="minorEastAsia" w:hAnsiTheme="minorEastAsia" w:hint="eastAsia"/>
          <w:lang w:eastAsia="zh-HK"/>
        </w:rPr>
        <w:t>戶</w:t>
      </w:r>
      <w:r w:rsidRPr="00F1059A">
        <w:rPr>
          <w:rFonts w:asciiTheme="minorEastAsia" w:hAnsiTheme="minorEastAsia"/>
        </w:rPr>
        <w:t>，估計約 126</w:t>
      </w:r>
      <w:r w:rsidR="00B517D4">
        <w:rPr>
          <w:rFonts w:asciiTheme="minorEastAsia" w:hAnsiTheme="minorEastAsia"/>
        </w:rPr>
        <w:t>，</w:t>
      </w:r>
      <w:r w:rsidRPr="00F1059A">
        <w:rPr>
          <w:rFonts w:asciiTheme="minorEastAsia" w:hAnsiTheme="minorEastAsia"/>
        </w:rPr>
        <w:t>100</w:t>
      </w:r>
      <w:r w:rsidRPr="00F1059A">
        <w:rPr>
          <w:rFonts w:asciiTheme="minorEastAsia" w:hAnsiTheme="minorEastAsia" w:hint="eastAsia"/>
        </w:rPr>
        <w:t>人受惠</w:t>
      </w:r>
      <w:r w:rsidRPr="00F1059A">
        <w:rPr>
          <w:rFonts w:asciiTheme="minorEastAsia" w:hAnsiTheme="minorEastAsia" w:cs="新細明體" w:hint="eastAsia"/>
          <w:lang w:eastAsia="zh-HK"/>
        </w:rPr>
        <w:t>，</w:t>
      </w:r>
      <w:r w:rsidRPr="00F1059A">
        <w:rPr>
          <w:rFonts w:asciiTheme="minorEastAsia" w:hAnsiTheme="minorEastAsia"/>
        </w:rPr>
        <w:t>最</w:t>
      </w:r>
      <w:r w:rsidRPr="00F1059A">
        <w:rPr>
          <w:rFonts w:asciiTheme="minorEastAsia" w:hAnsiTheme="minorEastAsia" w:hint="eastAsia"/>
          <w:lang w:eastAsia="zh-HK"/>
        </w:rPr>
        <w:t>後</w:t>
      </w:r>
      <w:r w:rsidRPr="00F1059A">
        <w:rPr>
          <w:rFonts w:asciiTheme="minorEastAsia" w:hAnsiTheme="minorEastAsia"/>
        </w:rPr>
        <w:t>申請總數目約為65</w:t>
      </w:r>
      <w:r w:rsidR="00B517D4">
        <w:rPr>
          <w:rFonts w:asciiTheme="minorEastAsia" w:hAnsiTheme="minorEastAsia" w:hint="eastAsia"/>
        </w:rPr>
        <w:t>，</w:t>
      </w:r>
      <w:r w:rsidRPr="00F1059A">
        <w:rPr>
          <w:rFonts w:asciiTheme="minorEastAsia" w:hAnsiTheme="minorEastAsia"/>
        </w:rPr>
        <w:t>300</w:t>
      </w:r>
      <w:r w:rsidRPr="00F1059A">
        <w:rPr>
          <w:rFonts w:asciiTheme="minorEastAsia" w:hAnsiTheme="minorEastAsia" w:hint="eastAsia"/>
          <w:lang w:eastAsia="zh-HK"/>
        </w:rPr>
        <w:t>戶，申請率達122%</w:t>
      </w:r>
      <w:r>
        <w:rPr>
          <w:rStyle w:val="ad"/>
          <w:rFonts w:asciiTheme="minorEastAsia" w:hAnsiTheme="minorEastAsia"/>
          <w:lang w:eastAsia="zh-HK"/>
        </w:rPr>
        <w:footnoteReference w:id="3"/>
      </w:r>
      <w:r w:rsidRPr="00F1059A">
        <w:rPr>
          <w:rFonts w:asciiTheme="minorEastAsia" w:hAnsiTheme="minorEastAsia" w:cs="新細明體" w:hint="eastAsia"/>
          <w:lang w:eastAsia="zh-HK"/>
        </w:rPr>
        <w:t>，津貼反</w:t>
      </w:r>
      <w:r w:rsidRPr="00F1059A">
        <w:rPr>
          <w:rFonts w:asciiTheme="minorEastAsia" w:hAnsiTheme="minorEastAsia" w:cs="新細明體" w:hint="eastAsia"/>
        </w:rPr>
        <w:t>應</w:t>
      </w:r>
      <w:r w:rsidRPr="00F1059A">
        <w:rPr>
          <w:rFonts w:asciiTheme="minorEastAsia" w:hAnsiTheme="minorEastAsia" w:cs="新細明體" w:hint="eastAsia"/>
          <w:lang w:eastAsia="zh-HK"/>
        </w:rPr>
        <w:t>理想。</w:t>
      </w:r>
      <w:r>
        <w:rPr>
          <w:rFonts w:asciiTheme="minorEastAsia" w:hAnsiTheme="minorEastAsia" w:cs="新細明體" w:hint="eastAsia"/>
          <w:lang w:eastAsia="zh-HK"/>
        </w:rPr>
        <w:t>對比</w:t>
      </w:r>
      <w:proofErr w:type="gramStart"/>
      <w:r>
        <w:rPr>
          <w:rFonts w:asciiTheme="minorEastAsia" w:hAnsiTheme="minorEastAsia" w:hint="eastAsia"/>
          <w:lang w:eastAsia="zh-HK"/>
        </w:rPr>
        <w:t>勞福局</w:t>
      </w:r>
      <w:proofErr w:type="gramEnd"/>
      <w:r>
        <w:rPr>
          <w:rFonts w:asciiTheme="minorEastAsia" w:hAnsiTheme="minorEastAsia" w:hint="eastAsia"/>
          <w:lang w:eastAsia="zh-HK"/>
        </w:rPr>
        <w:t>當初</w:t>
      </w:r>
      <w:r w:rsidRPr="00F1059A">
        <w:rPr>
          <w:rFonts w:asciiTheme="minorEastAsia" w:hAnsiTheme="minorEastAsia" w:hint="eastAsia"/>
        </w:rPr>
        <w:t>預計約假設有21.8萬人申請津貼。</w:t>
      </w:r>
      <w:proofErr w:type="gramStart"/>
      <w:r w:rsidRPr="00F1059A">
        <w:rPr>
          <w:rFonts w:asciiTheme="minorEastAsia" w:hAnsiTheme="minorEastAsia" w:hint="eastAsia"/>
        </w:rPr>
        <w:t>交津</w:t>
      </w:r>
      <w:r w:rsidRPr="00032797">
        <w:rPr>
          <w:rFonts w:asciiTheme="minorEastAsia" w:hAnsiTheme="minorEastAsia"/>
        </w:rPr>
        <w:t>截至</w:t>
      </w:r>
      <w:proofErr w:type="gramEnd"/>
      <w:r w:rsidRPr="00032797">
        <w:rPr>
          <w:rFonts w:asciiTheme="minorEastAsia" w:hAnsiTheme="minorEastAsia"/>
        </w:rPr>
        <w:t xml:space="preserve"> 2013 年 11 月底</w:t>
      </w:r>
      <w:r>
        <w:rPr>
          <w:rStyle w:val="ad"/>
          <w:rFonts w:asciiTheme="minorEastAsia" w:hAnsiTheme="minorEastAsia"/>
        </w:rPr>
        <w:footnoteReference w:id="4"/>
      </w:r>
      <w:r w:rsidRPr="00032797">
        <w:rPr>
          <w:rFonts w:asciiTheme="minorEastAsia" w:hAnsiTheme="minorEastAsia"/>
        </w:rPr>
        <w:t>，勞工處已完成處理 132</w:t>
      </w:r>
      <w:r w:rsidR="00B517D4">
        <w:rPr>
          <w:rFonts w:asciiTheme="minorEastAsia" w:hAnsiTheme="minorEastAsia"/>
        </w:rPr>
        <w:t>，</w:t>
      </w:r>
      <w:r w:rsidRPr="00032797">
        <w:rPr>
          <w:rFonts w:asciiTheme="minorEastAsia" w:hAnsiTheme="minorEastAsia"/>
        </w:rPr>
        <w:t>394 宗申請，涉及 76</w:t>
      </w:r>
      <w:r w:rsidR="00B517D4">
        <w:rPr>
          <w:rFonts w:asciiTheme="minorEastAsia" w:hAnsiTheme="minorEastAsia"/>
        </w:rPr>
        <w:t>，</w:t>
      </w:r>
      <w:r w:rsidRPr="00032797">
        <w:rPr>
          <w:rFonts w:asciiTheme="minorEastAsia" w:hAnsiTheme="minorEastAsia"/>
        </w:rPr>
        <w:t>731 名申請人</w:t>
      </w:r>
      <w:r w:rsidRPr="00032797">
        <w:rPr>
          <w:rFonts w:asciiTheme="minorEastAsia" w:hAnsiTheme="minorEastAsia" w:hint="eastAsia"/>
          <w:lang w:eastAsia="zh-HK"/>
        </w:rPr>
        <w:t>，</w:t>
      </w:r>
      <w:r w:rsidRPr="00032797">
        <w:rPr>
          <w:rFonts w:asciiTheme="minorEastAsia" w:hAnsiTheme="minorEastAsia"/>
        </w:rPr>
        <w:t>批出合共 4 億 8</w:t>
      </w:r>
      <w:r w:rsidR="00B517D4">
        <w:rPr>
          <w:rFonts w:asciiTheme="minorEastAsia" w:hAnsiTheme="minorEastAsia"/>
        </w:rPr>
        <w:t>，</w:t>
      </w:r>
      <w:r w:rsidRPr="00032797">
        <w:rPr>
          <w:rFonts w:asciiTheme="minorEastAsia" w:hAnsiTheme="minorEastAsia"/>
        </w:rPr>
        <w:t>990 萬元的津貼予 61</w:t>
      </w:r>
      <w:r w:rsidR="00B517D4">
        <w:rPr>
          <w:rFonts w:asciiTheme="minorEastAsia" w:hAnsiTheme="minorEastAsia"/>
        </w:rPr>
        <w:t>，</w:t>
      </w:r>
      <w:r w:rsidRPr="00032797">
        <w:rPr>
          <w:rFonts w:asciiTheme="minorEastAsia" w:hAnsiTheme="minorEastAsia"/>
        </w:rPr>
        <w:t>809 名申請人。</w:t>
      </w:r>
      <w:r>
        <w:rPr>
          <w:rFonts w:asciiTheme="minorEastAsia" w:hAnsiTheme="minorEastAsia" w:hint="eastAsia"/>
          <w:lang w:eastAsia="zh-HK"/>
        </w:rPr>
        <w:t>兩年後</w:t>
      </w:r>
      <w:r w:rsidRPr="00032797">
        <w:rPr>
          <w:rFonts w:asciiTheme="minorEastAsia" w:hAnsiTheme="minorEastAsia"/>
        </w:rPr>
        <w:t>截至2015 年 1 月底</w:t>
      </w:r>
      <w:r>
        <w:rPr>
          <w:rStyle w:val="ad"/>
          <w:rFonts w:asciiTheme="minorEastAsia" w:hAnsiTheme="minorEastAsia"/>
        </w:rPr>
        <w:footnoteReference w:id="5"/>
      </w:r>
      <w:r w:rsidRPr="00032797">
        <w:rPr>
          <w:rFonts w:asciiTheme="minorEastAsia" w:hAnsiTheme="minorEastAsia"/>
        </w:rPr>
        <w:t>，勞工處</w:t>
      </w:r>
      <w:r w:rsidRPr="00032797">
        <w:rPr>
          <w:rFonts w:asciiTheme="minorEastAsia" w:hAnsiTheme="minorEastAsia" w:hint="eastAsia"/>
          <w:lang w:eastAsia="zh-HK"/>
        </w:rPr>
        <w:t>新增處理</w:t>
      </w:r>
      <w:r w:rsidRPr="00032797">
        <w:rPr>
          <w:rFonts w:asciiTheme="minorEastAsia" w:hAnsiTheme="minorEastAsia"/>
        </w:rPr>
        <w:t xml:space="preserve"> 98</w:t>
      </w:r>
      <w:r w:rsidR="00B517D4">
        <w:rPr>
          <w:rFonts w:asciiTheme="minorEastAsia" w:hAnsiTheme="minorEastAsia"/>
        </w:rPr>
        <w:t>，</w:t>
      </w:r>
      <w:r w:rsidRPr="00032797">
        <w:rPr>
          <w:rFonts w:asciiTheme="minorEastAsia" w:hAnsiTheme="minorEastAsia" w:hint="eastAsia"/>
        </w:rPr>
        <w:t xml:space="preserve"> 877</w:t>
      </w:r>
      <w:r w:rsidRPr="00032797">
        <w:rPr>
          <w:rFonts w:asciiTheme="minorEastAsia" w:hAnsiTheme="minorEastAsia"/>
        </w:rPr>
        <w:t>宗申請，</w:t>
      </w:r>
      <w:proofErr w:type="gramStart"/>
      <w:r w:rsidRPr="00032797">
        <w:rPr>
          <w:rFonts w:asciiTheme="minorEastAsia" w:hAnsiTheme="minorEastAsia" w:hint="eastAsia"/>
          <w:lang w:eastAsia="zh-HK"/>
        </w:rPr>
        <w:t>增</w:t>
      </w:r>
      <w:r w:rsidRPr="00032797">
        <w:rPr>
          <w:rFonts w:asciiTheme="minorEastAsia" w:hAnsiTheme="minorEastAsia"/>
        </w:rPr>
        <w:t>涉</w:t>
      </w:r>
      <w:proofErr w:type="gramEnd"/>
      <w:r w:rsidRPr="00032797">
        <w:rPr>
          <w:rFonts w:asciiTheme="minorEastAsia" w:hAnsiTheme="minorEastAsia"/>
        </w:rPr>
        <w:t>28</w:t>
      </w:r>
      <w:r w:rsidR="00B517D4">
        <w:rPr>
          <w:rFonts w:asciiTheme="minorEastAsia" w:hAnsiTheme="minorEastAsia"/>
        </w:rPr>
        <w:t>，</w:t>
      </w:r>
      <w:r w:rsidRPr="00032797">
        <w:rPr>
          <w:rFonts w:asciiTheme="minorEastAsia" w:hAnsiTheme="minorEastAsia"/>
        </w:rPr>
        <w:t>580名申請人</w:t>
      </w:r>
      <w:r w:rsidRPr="00032797">
        <w:rPr>
          <w:rFonts w:asciiTheme="minorEastAsia" w:hAnsiTheme="minorEastAsia" w:hint="eastAsia"/>
          <w:lang w:eastAsia="zh-HK"/>
        </w:rPr>
        <w:t>，多</w:t>
      </w:r>
      <w:r w:rsidRPr="00032797">
        <w:rPr>
          <w:rFonts w:asciiTheme="minorEastAsia" w:hAnsiTheme="minorEastAsia"/>
        </w:rPr>
        <w:t>批出 4億110 萬元的津貼予 24</w:t>
      </w:r>
      <w:r w:rsidR="00B517D4">
        <w:rPr>
          <w:rFonts w:asciiTheme="minorEastAsia" w:hAnsiTheme="minorEastAsia"/>
        </w:rPr>
        <w:t>，</w:t>
      </w:r>
      <w:r w:rsidRPr="00032797">
        <w:rPr>
          <w:rFonts w:asciiTheme="minorEastAsia" w:hAnsiTheme="minorEastAsia"/>
        </w:rPr>
        <w:t>661 名申請人</w:t>
      </w:r>
      <w:r>
        <w:rPr>
          <w:rFonts w:asciiTheme="minorEastAsia" w:hAnsiTheme="minorEastAsia" w:hint="eastAsia"/>
          <w:lang w:eastAsia="zh-HK"/>
        </w:rPr>
        <w:t>，兩</w:t>
      </w:r>
      <w:r>
        <w:rPr>
          <w:rFonts w:asciiTheme="minorEastAsia" w:hAnsiTheme="minorEastAsia" w:hint="eastAsia"/>
        </w:rPr>
        <w:t>年來</w:t>
      </w:r>
      <w:r>
        <w:rPr>
          <w:rFonts w:asciiTheme="minorEastAsia" w:hAnsiTheme="minorEastAsia" w:hint="eastAsia"/>
          <w:lang w:eastAsia="zh-HK"/>
        </w:rPr>
        <w:t>計</w:t>
      </w:r>
      <w:r>
        <w:rPr>
          <w:rFonts w:asciiTheme="minorEastAsia" w:hAnsiTheme="minorEastAsia" w:hint="eastAsia"/>
        </w:rPr>
        <w:t>劃</w:t>
      </w:r>
      <w:r>
        <w:rPr>
          <w:rFonts w:asciiTheme="minorEastAsia" w:hAnsiTheme="minorEastAsia" w:hint="eastAsia"/>
          <w:lang w:eastAsia="zh-HK"/>
        </w:rPr>
        <w:t>只達預</w:t>
      </w:r>
      <w:r>
        <w:rPr>
          <w:rFonts w:asciiTheme="minorEastAsia" w:hAnsiTheme="minorEastAsia" w:hint="eastAsia"/>
        </w:rPr>
        <w:t>期</w:t>
      </w:r>
      <w:r>
        <w:rPr>
          <w:rFonts w:asciiTheme="minorEastAsia" w:hAnsiTheme="minorEastAsia" w:hint="eastAsia"/>
          <w:lang w:eastAsia="zh-HK"/>
        </w:rPr>
        <w:t>的</w:t>
      </w:r>
      <w:r w:rsidRPr="007C669B">
        <w:rPr>
          <w:rFonts w:asciiTheme="minorEastAsia" w:hAnsiTheme="minorEastAsia" w:hint="eastAsia"/>
          <w:lang w:eastAsia="zh-HK"/>
        </w:rPr>
        <w:t>21.8萬人</w:t>
      </w:r>
      <w:r>
        <w:rPr>
          <w:rFonts w:asciiTheme="minorEastAsia" w:hAnsiTheme="minorEastAsia" w:hint="eastAsia"/>
          <w:lang w:eastAsia="zh-HK"/>
        </w:rPr>
        <w:t>中的</w:t>
      </w:r>
      <w:r>
        <w:rPr>
          <w:rFonts w:asciiTheme="minorEastAsia" w:hAnsiTheme="minorEastAsia" w:hint="eastAsia"/>
        </w:rPr>
        <w:t>13.11</w:t>
      </w:r>
      <w:r>
        <w:rPr>
          <w:rFonts w:asciiTheme="minorEastAsia" w:hAnsiTheme="minorEastAsia" w:hint="eastAsia"/>
          <w:lang w:eastAsia="zh-HK"/>
        </w:rPr>
        <w:t>%</w:t>
      </w:r>
      <w:r w:rsidRPr="00032797">
        <w:rPr>
          <w:rFonts w:asciiTheme="minorEastAsia" w:hAnsiTheme="minorEastAsia" w:hint="eastAsia"/>
          <w:lang w:eastAsia="zh-HK"/>
        </w:rPr>
        <w:t>。</w:t>
      </w:r>
      <w:r w:rsidRPr="00032797">
        <w:rPr>
          <w:rFonts w:asciiTheme="minorEastAsia" w:hAnsiTheme="minorEastAsia"/>
        </w:rPr>
        <w:t xml:space="preserve"> </w:t>
      </w:r>
    </w:p>
    <w:p w:rsidR="00B769DC" w:rsidRPr="00B769DC" w:rsidRDefault="00500E9A" w:rsidP="004D6B14">
      <w:pPr>
        <w:spacing w:line="276" w:lineRule="auto"/>
        <w:rPr>
          <w:rFonts w:asciiTheme="minorEastAsia" w:hAnsiTheme="minorEastAsia"/>
          <w:b/>
          <w:szCs w:val="24"/>
          <w:u w:val="single"/>
        </w:rPr>
      </w:pPr>
      <w:r>
        <w:rPr>
          <w:rFonts w:asciiTheme="minorEastAsia" w:hAnsiTheme="minorEastAsia" w:hint="eastAsia"/>
          <w:b/>
          <w:szCs w:val="24"/>
          <w:u w:val="single"/>
        </w:rPr>
        <w:t>交通津貼過去8年</w:t>
      </w:r>
      <w:proofErr w:type="gramStart"/>
      <w:r>
        <w:rPr>
          <w:rFonts w:asciiTheme="minorEastAsia" w:hAnsiTheme="minorEastAsia" w:hint="eastAsia"/>
          <w:b/>
          <w:szCs w:val="24"/>
          <w:u w:val="single"/>
        </w:rPr>
        <w:t>沒有跟通</w:t>
      </w:r>
      <w:r w:rsidR="004E2A1C">
        <w:rPr>
          <w:rFonts w:asciiTheme="minorEastAsia" w:hAnsiTheme="minorEastAsia" w:hint="eastAsia"/>
          <w:b/>
          <w:szCs w:val="24"/>
          <w:u w:val="single"/>
        </w:rPr>
        <w:t>漲</w:t>
      </w:r>
      <w:proofErr w:type="gramEnd"/>
      <w:r w:rsidR="004E2A1C">
        <w:rPr>
          <w:rFonts w:asciiTheme="minorEastAsia" w:hAnsiTheme="minorEastAsia" w:hint="eastAsia"/>
          <w:b/>
          <w:szCs w:val="24"/>
          <w:u w:val="single"/>
        </w:rPr>
        <w:t>調整</w:t>
      </w:r>
    </w:p>
    <w:p w:rsidR="006A5F41" w:rsidRDefault="0019683C" w:rsidP="006A5F41">
      <w:pPr>
        <w:rPr>
          <w:rFonts w:asciiTheme="minorEastAsia" w:hAnsiTheme="minorEastAsia" w:hint="eastAsia"/>
          <w:szCs w:val="24"/>
          <w:lang w:eastAsia="zh-HK"/>
        </w:rPr>
      </w:pPr>
      <w:r>
        <w:rPr>
          <w:rFonts w:asciiTheme="minorEastAsia" w:hAnsiTheme="minorEastAsia" w:hint="eastAsia"/>
          <w:szCs w:val="24"/>
          <w:lang w:eastAsia="zh-HK"/>
        </w:rPr>
        <w:t>實行上</w:t>
      </w:r>
      <w:r w:rsidRPr="0019683C">
        <w:rPr>
          <w:rFonts w:asciiTheme="minorEastAsia" w:hAnsiTheme="minorEastAsia" w:hint="eastAsia"/>
          <w:szCs w:val="24"/>
          <w:lang w:eastAsia="zh-HK"/>
        </w:rPr>
        <w:t>申請資格</w:t>
      </w:r>
      <w:r>
        <w:rPr>
          <w:rFonts w:asciiTheme="minorEastAsia" w:hAnsiTheme="minorEastAsia" w:hint="eastAsia"/>
          <w:szCs w:val="24"/>
          <w:lang w:eastAsia="zh-HK"/>
        </w:rPr>
        <w:t>更著重</w:t>
      </w:r>
      <w:r w:rsidRPr="0019683C">
        <w:rPr>
          <w:rFonts w:asciiTheme="minorEastAsia" w:hAnsiTheme="minorEastAsia" w:hint="eastAsia"/>
          <w:szCs w:val="24"/>
          <w:lang w:eastAsia="zh-HK"/>
        </w:rPr>
        <w:t>考慮</w:t>
      </w:r>
      <w:r>
        <w:rPr>
          <w:rFonts w:asciiTheme="minorEastAsia" w:hAnsiTheme="minorEastAsia" w:hint="eastAsia"/>
          <w:szCs w:val="24"/>
          <w:lang w:eastAsia="zh-HK"/>
        </w:rPr>
        <w:t>申請人</w:t>
      </w:r>
      <w:r w:rsidRPr="0019683C">
        <w:rPr>
          <w:rFonts w:asciiTheme="minorEastAsia" w:hAnsiTheme="minorEastAsia" w:hint="eastAsia"/>
          <w:szCs w:val="24"/>
          <w:lang w:eastAsia="zh-HK"/>
        </w:rPr>
        <w:t>的經濟狀況（入息及資產限額），交通開支</w:t>
      </w:r>
      <w:r>
        <w:rPr>
          <w:rFonts w:asciiTheme="minorEastAsia" w:hAnsiTheme="minorEastAsia" w:hint="eastAsia"/>
          <w:szCs w:val="24"/>
          <w:lang w:eastAsia="zh-HK"/>
        </w:rPr>
        <w:t>反變成次要，</w:t>
      </w:r>
      <w:r w:rsidR="00C20224" w:rsidRPr="00C20224">
        <w:rPr>
          <w:rFonts w:asciiTheme="minorEastAsia" w:hAnsiTheme="minorEastAsia" w:hint="eastAsia"/>
          <w:szCs w:val="24"/>
          <w:lang w:eastAsia="zh-HK"/>
        </w:rPr>
        <w:t>審查機制令計劃變成減輕家庭生活負擔的扶貧措施，但$600的津貼卻不足以幫助低收入家庭為他們生活上的開支提供重要的援助。</w:t>
      </w:r>
      <w:r w:rsidR="00D01CA3" w:rsidRPr="00D01CA3">
        <w:rPr>
          <w:rFonts w:asciiTheme="minorEastAsia" w:hAnsiTheme="minorEastAsia" w:hint="eastAsia"/>
          <w:szCs w:val="24"/>
          <w:lang w:eastAsia="zh-HK"/>
        </w:rPr>
        <w:t>2007年推行的</w:t>
      </w:r>
      <w:r w:rsidR="00D01CA3" w:rsidRPr="00D01CA3">
        <w:rPr>
          <w:rFonts w:asciiTheme="minorEastAsia" w:hAnsiTheme="minorEastAsia" w:hint="eastAsia"/>
          <w:szCs w:val="24"/>
          <w:lang w:eastAsia="zh-HK"/>
        </w:rPr>
        <w:lastRenderedPageBreak/>
        <w:t>跨區交通費支援計劃津貼金額</w:t>
      </w:r>
      <w:r w:rsidR="00C20224">
        <w:rPr>
          <w:rFonts w:asciiTheme="minorEastAsia" w:hAnsiTheme="minorEastAsia" w:hint="eastAsia"/>
          <w:szCs w:val="24"/>
          <w:lang w:eastAsia="zh-HK"/>
        </w:rPr>
        <w:t>定</w:t>
      </w:r>
      <w:r w:rsidR="00D01CA3" w:rsidRPr="00D01CA3">
        <w:rPr>
          <w:rFonts w:asciiTheme="minorEastAsia" w:hAnsiTheme="minorEastAsia" w:hint="eastAsia"/>
          <w:szCs w:val="24"/>
          <w:lang w:eastAsia="zh-HK"/>
        </w:rPr>
        <w:t>為$600，</w:t>
      </w:r>
      <w:r w:rsidR="00C20224">
        <w:rPr>
          <w:rFonts w:asciiTheme="minorEastAsia" w:hAnsiTheme="minorEastAsia" w:hint="eastAsia"/>
          <w:szCs w:val="24"/>
          <w:lang w:eastAsia="zh-HK"/>
        </w:rPr>
        <w:t>至今</w:t>
      </w:r>
      <w:r w:rsidR="00D01CA3" w:rsidRPr="00D01CA3">
        <w:rPr>
          <w:rFonts w:asciiTheme="minorEastAsia" w:hAnsiTheme="minorEastAsia" w:hint="eastAsia"/>
          <w:szCs w:val="24"/>
          <w:lang w:eastAsia="zh-HK"/>
        </w:rPr>
        <w:t>一直</w:t>
      </w:r>
      <w:proofErr w:type="gramStart"/>
      <w:r w:rsidR="00D01CA3" w:rsidRPr="00D01CA3">
        <w:rPr>
          <w:rFonts w:asciiTheme="minorEastAsia" w:hAnsiTheme="minorEastAsia" w:hint="eastAsia"/>
          <w:szCs w:val="24"/>
          <w:lang w:eastAsia="zh-HK"/>
        </w:rPr>
        <w:t>未按通脹</w:t>
      </w:r>
      <w:proofErr w:type="gramEnd"/>
      <w:r w:rsidR="00D01CA3" w:rsidRPr="00D01CA3">
        <w:rPr>
          <w:rFonts w:asciiTheme="minorEastAsia" w:hAnsiTheme="minorEastAsia" w:hint="eastAsia"/>
          <w:szCs w:val="24"/>
          <w:lang w:eastAsia="zh-HK"/>
        </w:rPr>
        <w:t>進行調整。</w:t>
      </w:r>
    </w:p>
    <w:p w:rsidR="00570FBF" w:rsidRDefault="00570FBF" w:rsidP="006A5F41">
      <w:pPr>
        <w:rPr>
          <w:rFonts w:asciiTheme="minorEastAsia" w:hAnsiTheme="minorEastAsia" w:hint="eastAsia"/>
          <w:szCs w:val="24"/>
          <w:lang w:eastAsia="zh-HK"/>
        </w:rPr>
      </w:pPr>
    </w:p>
    <w:p w:rsidR="00970159" w:rsidRDefault="006A5F41" w:rsidP="006A5F41">
      <w:pPr>
        <w:rPr>
          <w:rFonts w:asciiTheme="minorEastAsia" w:hAnsiTheme="minorEastAsia"/>
          <w:szCs w:val="24"/>
          <w:lang w:eastAsia="zh-HK"/>
        </w:rPr>
      </w:pPr>
      <w:r>
        <w:rPr>
          <w:rFonts w:asciiTheme="minorEastAsia" w:hAnsiTheme="minorEastAsia" w:hint="eastAsia"/>
          <w:b/>
          <w:szCs w:val="24"/>
          <w:lang w:eastAsia="zh-HK"/>
        </w:rPr>
        <w:t xml:space="preserve">圖1. </w:t>
      </w:r>
      <w:r w:rsidRPr="00402C3C">
        <w:rPr>
          <w:rFonts w:asciiTheme="minorEastAsia" w:hAnsiTheme="minorEastAsia" w:hint="eastAsia"/>
          <w:b/>
          <w:szCs w:val="24"/>
          <w:lang w:eastAsia="zh-HK"/>
        </w:rPr>
        <w:t>2007-2014</w:t>
      </w:r>
      <w:proofErr w:type="gramStart"/>
      <w:r>
        <w:rPr>
          <w:rFonts w:asciiTheme="minorEastAsia" w:hAnsiTheme="minorEastAsia" w:hint="eastAsia"/>
          <w:b/>
          <w:szCs w:val="24"/>
          <w:lang w:eastAsia="zh-HK"/>
        </w:rPr>
        <w:t>十</w:t>
      </w:r>
      <w:proofErr w:type="gramEnd"/>
      <w:r>
        <w:rPr>
          <w:rFonts w:asciiTheme="minorEastAsia" w:hAnsiTheme="minorEastAsia" w:hint="eastAsia"/>
          <w:b/>
          <w:szCs w:val="24"/>
          <w:lang w:eastAsia="zh-HK"/>
        </w:rPr>
        <w:t>月份</w:t>
      </w:r>
      <w:r w:rsidRPr="00402C3C">
        <w:rPr>
          <w:rFonts w:asciiTheme="minorEastAsia" w:hAnsiTheme="minorEastAsia" w:hint="eastAsia"/>
          <w:b/>
          <w:szCs w:val="24"/>
          <w:lang w:eastAsia="zh-HK"/>
        </w:rPr>
        <w:t>綜合</w:t>
      </w:r>
      <w:proofErr w:type="gramStart"/>
      <w:r>
        <w:rPr>
          <w:rFonts w:asciiTheme="minorEastAsia" w:hAnsiTheme="minorEastAsia" w:hint="eastAsia"/>
          <w:b/>
          <w:szCs w:val="24"/>
          <w:lang w:eastAsia="zh-HK"/>
        </w:rPr>
        <w:t>﹑</w:t>
      </w:r>
      <w:proofErr w:type="gramEnd"/>
      <w:r w:rsidRPr="00402C3C">
        <w:rPr>
          <w:rFonts w:asciiTheme="minorEastAsia" w:hAnsiTheme="minorEastAsia" w:hint="eastAsia"/>
          <w:b/>
          <w:szCs w:val="24"/>
          <w:lang w:eastAsia="zh-HK"/>
        </w:rPr>
        <w:t>甲類消費物價指數按年變動百分率</w:t>
      </w:r>
      <w:r>
        <w:rPr>
          <w:rStyle w:val="ad"/>
          <w:rFonts w:asciiTheme="minorEastAsia" w:hAnsiTheme="minorEastAsia"/>
          <w:b/>
          <w:szCs w:val="24"/>
          <w:lang w:eastAsia="zh-HK"/>
        </w:rPr>
        <w:footnoteReference w:id="6"/>
      </w:r>
    </w:p>
    <w:tbl>
      <w:tblPr>
        <w:tblStyle w:val="ae"/>
        <w:tblpPr w:leftFromText="180" w:rightFromText="180" w:vertAnchor="page" w:horzAnchor="margin" w:tblpY="2911"/>
        <w:tblW w:w="8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259"/>
        <w:gridCol w:w="533"/>
        <w:gridCol w:w="1125"/>
        <w:gridCol w:w="2212"/>
        <w:gridCol w:w="1125"/>
        <w:gridCol w:w="2212"/>
      </w:tblGrid>
      <w:tr w:rsidR="004A04B3" w:rsidRPr="009104C7" w:rsidTr="004A04B3">
        <w:trPr>
          <w:trHeight w:val="457"/>
        </w:trPr>
        <w:tc>
          <w:tcPr>
            <w:tcW w:w="0" w:type="auto"/>
            <w:gridSpan w:val="2"/>
            <w:vMerge w:val="restart"/>
            <w:tcBorders>
              <w:top w:val="single" w:sz="4" w:space="0" w:color="auto"/>
              <w:left w:val="single" w:sz="4" w:space="0" w:color="auto"/>
              <w:right w:val="single" w:sz="4" w:space="0" w:color="auto"/>
            </w:tcBorders>
            <w:hideMark/>
          </w:tcPr>
          <w:p w:rsidR="004A04B3" w:rsidRPr="009104C7" w:rsidRDefault="004A04B3" w:rsidP="004A04B3">
            <w:pPr>
              <w:widowControl/>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年</w:t>
            </w:r>
          </w:p>
        </w:tc>
        <w:tc>
          <w:tcPr>
            <w:tcW w:w="0" w:type="auto"/>
            <w:vMerge w:val="restart"/>
            <w:tcBorders>
              <w:top w:val="single" w:sz="4" w:space="0" w:color="auto"/>
              <w:left w:val="single" w:sz="4" w:space="0" w:color="auto"/>
              <w:right w:val="single" w:sz="4" w:space="0" w:color="auto"/>
            </w:tcBorders>
            <w:hideMark/>
          </w:tcPr>
          <w:p w:rsidR="004A04B3" w:rsidRPr="009104C7" w:rsidRDefault="004A04B3" w:rsidP="004A04B3">
            <w:pPr>
              <w:widowControl/>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月</w:t>
            </w:r>
          </w:p>
        </w:tc>
        <w:tc>
          <w:tcPr>
            <w:tcW w:w="0" w:type="auto"/>
            <w:gridSpan w:val="2"/>
            <w:tcBorders>
              <w:top w:val="single" w:sz="4" w:space="0" w:color="auto"/>
              <w:left w:val="single" w:sz="4" w:space="0" w:color="auto"/>
              <w:bottom w:val="single" w:sz="4" w:space="0" w:color="auto"/>
              <w:right w:val="single" w:sz="4" w:space="0" w:color="auto"/>
            </w:tcBorders>
            <w:hideMark/>
          </w:tcPr>
          <w:p w:rsidR="004A04B3" w:rsidRPr="009104C7" w:rsidRDefault="004A04B3" w:rsidP="004A04B3">
            <w:pPr>
              <w:widowControl/>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綜合消費物價指數</w:t>
            </w:r>
          </w:p>
        </w:tc>
        <w:tc>
          <w:tcPr>
            <w:tcW w:w="0" w:type="auto"/>
            <w:gridSpan w:val="2"/>
            <w:tcBorders>
              <w:top w:val="single" w:sz="4" w:space="0" w:color="auto"/>
              <w:left w:val="single" w:sz="4" w:space="0" w:color="auto"/>
              <w:bottom w:val="single" w:sz="4" w:space="0" w:color="auto"/>
              <w:right w:val="single" w:sz="4" w:space="0" w:color="auto"/>
            </w:tcBorders>
            <w:hideMark/>
          </w:tcPr>
          <w:p w:rsidR="004A04B3" w:rsidRPr="009104C7" w:rsidRDefault="004A04B3" w:rsidP="004A04B3">
            <w:pPr>
              <w:widowControl/>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甲類消費物價指數</w:t>
            </w:r>
          </w:p>
        </w:tc>
      </w:tr>
      <w:tr w:rsidR="004A04B3" w:rsidRPr="009104C7" w:rsidTr="004A04B3">
        <w:trPr>
          <w:trHeight w:val="457"/>
        </w:trPr>
        <w:tc>
          <w:tcPr>
            <w:tcW w:w="0" w:type="auto"/>
            <w:gridSpan w:val="2"/>
            <w:vMerge/>
            <w:tcBorders>
              <w:left w:val="single" w:sz="4" w:space="0" w:color="auto"/>
              <w:bottom w:val="single" w:sz="4" w:space="0" w:color="auto"/>
              <w:right w:val="single" w:sz="4" w:space="0" w:color="auto"/>
            </w:tcBorders>
            <w:hideMark/>
          </w:tcPr>
          <w:p w:rsidR="004A04B3" w:rsidRPr="009104C7" w:rsidRDefault="004A04B3" w:rsidP="004A04B3">
            <w:pPr>
              <w:widowControl/>
              <w:rPr>
                <w:rFonts w:asciiTheme="minorEastAsia" w:hAnsiTheme="minorEastAsia" w:cs="Times New Roman"/>
                <w:b/>
                <w:color w:val="000000"/>
                <w:kern w:val="0"/>
                <w:szCs w:val="24"/>
              </w:rPr>
            </w:pPr>
          </w:p>
        </w:tc>
        <w:tc>
          <w:tcPr>
            <w:tcW w:w="0" w:type="auto"/>
            <w:vMerge/>
            <w:tcBorders>
              <w:left w:val="single" w:sz="4" w:space="0" w:color="auto"/>
              <w:bottom w:val="single" w:sz="4" w:space="0" w:color="auto"/>
              <w:right w:val="single" w:sz="4" w:space="0" w:color="auto"/>
            </w:tcBorders>
            <w:hideMark/>
          </w:tcPr>
          <w:p w:rsidR="004A04B3" w:rsidRPr="009104C7" w:rsidRDefault="004A04B3" w:rsidP="004A04B3">
            <w:pPr>
              <w:widowControl/>
              <w:rPr>
                <w:rFonts w:asciiTheme="minorEastAsia" w:hAnsiTheme="minorEastAsia" w:cs="Times New Roman"/>
                <w:b/>
                <w:color w:val="000000"/>
                <w:kern w:val="0"/>
                <w:szCs w:val="24"/>
              </w:rPr>
            </w:pPr>
          </w:p>
        </w:tc>
        <w:tc>
          <w:tcPr>
            <w:tcW w:w="0" w:type="auto"/>
            <w:tcBorders>
              <w:top w:val="single" w:sz="4" w:space="0" w:color="auto"/>
              <w:left w:val="single" w:sz="4" w:space="0" w:color="auto"/>
              <w:bottom w:val="single" w:sz="4" w:space="0" w:color="auto"/>
              <w:right w:val="single" w:sz="4" w:space="0" w:color="auto"/>
            </w:tcBorders>
            <w:hideMark/>
          </w:tcPr>
          <w:p w:rsidR="004A04B3" w:rsidRPr="009104C7" w:rsidRDefault="004A04B3" w:rsidP="004A04B3">
            <w:pPr>
              <w:widowControl/>
              <w:jc w:val="right"/>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指數</w:t>
            </w:r>
          </w:p>
        </w:tc>
        <w:tc>
          <w:tcPr>
            <w:tcW w:w="0" w:type="auto"/>
            <w:tcBorders>
              <w:top w:val="single" w:sz="4" w:space="0" w:color="auto"/>
              <w:left w:val="single" w:sz="4" w:space="0" w:color="auto"/>
              <w:bottom w:val="single" w:sz="4" w:space="0" w:color="auto"/>
              <w:right w:val="single" w:sz="4" w:space="0" w:color="auto"/>
            </w:tcBorders>
            <w:hideMark/>
          </w:tcPr>
          <w:p w:rsidR="004A04B3" w:rsidRPr="009104C7" w:rsidRDefault="004A04B3" w:rsidP="004A04B3">
            <w:pPr>
              <w:widowControl/>
              <w:jc w:val="right"/>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按年變動百分率</w:t>
            </w:r>
          </w:p>
        </w:tc>
        <w:tc>
          <w:tcPr>
            <w:tcW w:w="0" w:type="auto"/>
            <w:tcBorders>
              <w:top w:val="single" w:sz="4" w:space="0" w:color="auto"/>
              <w:left w:val="single" w:sz="4" w:space="0" w:color="auto"/>
              <w:bottom w:val="single" w:sz="4" w:space="0" w:color="auto"/>
              <w:right w:val="single" w:sz="4" w:space="0" w:color="auto"/>
            </w:tcBorders>
            <w:hideMark/>
          </w:tcPr>
          <w:p w:rsidR="004A04B3" w:rsidRPr="009104C7" w:rsidRDefault="004A04B3" w:rsidP="004A04B3">
            <w:pPr>
              <w:widowControl/>
              <w:jc w:val="right"/>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指數</w:t>
            </w:r>
          </w:p>
        </w:tc>
        <w:tc>
          <w:tcPr>
            <w:tcW w:w="0" w:type="auto"/>
            <w:tcBorders>
              <w:top w:val="single" w:sz="4" w:space="0" w:color="auto"/>
              <w:left w:val="single" w:sz="4" w:space="0" w:color="auto"/>
              <w:bottom w:val="single" w:sz="4" w:space="0" w:color="auto"/>
              <w:right w:val="single" w:sz="4" w:space="0" w:color="auto"/>
            </w:tcBorders>
            <w:hideMark/>
          </w:tcPr>
          <w:p w:rsidR="004A04B3" w:rsidRPr="009104C7" w:rsidRDefault="004A04B3" w:rsidP="004A04B3">
            <w:pPr>
              <w:widowControl/>
              <w:jc w:val="right"/>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按年變動百分率</w:t>
            </w:r>
          </w:p>
        </w:tc>
      </w:tr>
      <w:tr w:rsidR="004A04B3" w:rsidRPr="009104C7" w:rsidTr="004A04B3">
        <w:trPr>
          <w:trHeight w:val="457"/>
        </w:trPr>
        <w:tc>
          <w:tcPr>
            <w:tcW w:w="0" w:type="auto"/>
            <w:gridSpan w:val="2"/>
            <w:tcBorders>
              <w:top w:val="single" w:sz="4" w:space="0" w:color="auto"/>
              <w:left w:val="single" w:sz="4" w:space="0" w:color="auto"/>
              <w:bottom w:val="single" w:sz="4" w:space="0" w:color="auto"/>
              <w:right w:val="single" w:sz="4" w:space="0" w:color="auto"/>
            </w:tcBorders>
            <w:hideMark/>
          </w:tcPr>
          <w:p w:rsidR="004A04B3" w:rsidRPr="009104C7" w:rsidRDefault="004A04B3" w:rsidP="004A04B3">
            <w:pPr>
              <w:widowControl/>
              <w:rPr>
                <w:rFonts w:asciiTheme="minorEastAsia" w:hAnsiTheme="minorEastAsia" w:cs="Times New Roman"/>
                <w:b/>
                <w:color w:val="000000"/>
                <w:kern w:val="0"/>
                <w:szCs w:val="24"/>
              </w:rPr>
            </w:pPr>
            <w:r w:rsidRPr="009104C7">
              <w:rPr>
                <w:rFonts w:asciiTheme="minorEastAsia" w:hAnsiTheme="minorEastAsia" w:cs="Times New Roman"/>
                <w:b/>
                <w:color w:val="000000"/>
                <w:kern w:val="0"/>
                <w:szCs w:val="24"/>
              </w:rPr>
              <w:t>2009</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10</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jc w:val="right"/>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 xml:space="preserve">  99.5</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jc w:val="right"/>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+2.2</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jc w:val="right"/>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 xml:space="preserve">  100.3</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jc w:val="right"/>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+5.2</w:t>
            </w:r>
          </w:p>
        </w:tc>
      </w:tr>
      <w:tr w:rsidR="004A04B3" w:rsidRPr="009104C7" w:rsidTr="004A04B3">
        <w:trPr>
          <w:trHeight w:val="457"/>
        </w:trPr>
        <w:tc>
          <w:tcPr>
            <w:tcW w:w="0" w:type="auto"/>
            <w:gridSpan w:val="2"/>
            <w:tcBorders>
              <w:top w:val="single" w:sz="4" w:space="0" w:color="auto"/>
              <w:left w:val="single" w:sz="4" w:space="0" w:color="auto"/>
              <w:bottom w:val="single" w:sz="4" w:space="0" w:color="auto"/>
              <w:right w:val="single" w:sz="4" w:space="0" w:color="auto"/>
            </w:tcBorders>
            <w:hideMark/>
          </w:tcPr>
          <w:p w:rsidR="004A04B3" w:rsidRPr="009104C7" w:rsidRDefault="004A04B3" w:rsidP="004A04B3">
            <w:pPr>
              <w:widowControl/>
              <w:rPr>
                <w:rFonts w:asciiTheme="minorEastAsia" w:hAnsiTheme="minorEastAsia" w:cs="Times New Roman"/>
                <w:b/>
                <w:color w:val="000000"/>
                <w:kern w:val="0"/>
                <w:szCs w:val="24"/>
              </w:rPr>
            </w:pPr>
            <w:r w:rsidRPr="009104C7">
              <w:rPr>
                <w:rFonts w:asciiTheme="minorEastAsia" w:hAnsiTheme="minorEastAsia" w:cs="Times New Roman"/>
                <w:b/>
                <w:color w:val="000000"/>
                <w:kern w:val="0"/>
                <w:szCs w:val="24"/>
              </w:rPr>
              <w:t>2010</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10</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jc w:val="right"/>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 xml:space="preserve">  102.0</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jc w:val="right"/>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+2.5</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jc w:val="right"/>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 xml:space="preserve">  103.4</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jc w:val="right"/>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+3.0</w:t>
            </w:r>
          </w:p>
        </w:tc>
      </w:tr>
      <w:tr w:rsidR="004A04B3" w:rsidRPr="009104C7" w:rsidTr="004A04B3">
        <w:trPr>
          <w:trHeight w:val="457"/>
        </w:trPr>
        <w:tc>
          <w:tcPr>
            <w:tcW w:w="0" w:type="auto"/>
            <w:gridSpan w:val="2"/>
            <w:tcBorders>
              <w:top w:val="single" w:sz="4" w:space="0" w:color="auto"/>
              <w:left w:val="single" w:sz="4" w:space="0" w:color="auto"/>
              <w:bottom w:val="single" w:sz="4" w:space="0" w:color="auto"/>
              <w:right w:val="single" w:sz="4" w:space="0" w:color="auto"/>
            </w:tcBorders>
            <w:hideMark/>
          </w:tcPr>
          <w:p w:rsidR="004A04B3" w:rsidRPr="009104C7" w:rsidRDefault="004A04B3" w:rsidP="004A04B3">
            <w:pPr>
              <w:widowControl/>
              <w:rPr>
                <w:rFonts w:asciiTheme="minorEastAsia" w:hAnsiTheme="minorEastAsia" w:cs="Times New Roman"/>
                <w:b/>
                <w:color w:val="000000"/>
                <w:kern w:val="0"/>
                <w:szCs w:val="24"/>
              </w:rPr>
            </w:pPr>
            <w:r w:rsidRPr="009104C7">
              <w:rPr>
                <w:rFonts w:asciiTheme="minorEastAsia" w:hAnsiTheme="minorEastAsia" w:cs="Times New Roman"/>
                <w:b/>
                <w:color w:val="000000"/>
                <w:kern w:val="0"/>
                <w:szCs w:val="24"/>
              </w:rPr>
              <w:t>2011</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10</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jc w:val="right"/>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 xml:space="preserve">  107.9</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jc w:val="right"/>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+5.8</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jc w:val="right"/>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 xml:space="preserve">  108.7</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jc w:val="right"/>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+5.2</w:t>
            </w:r>
          </w:p>
        </w:tc>
      </w:tr>
      <w:tr w:rsidR="004A04B3" w:rsidRPr="009104C7" w:rsidTr="004A04B3">
        <w:trPr>
          <w:trHeight w:val="457"/>
        </w:trPr>
        <w:tc>
          <w:tcPr>
            <w:tcW w:w="0" w:type="auto"/>
            <w:gridSpan w:val="2"/>
            <w:tcBorders>
              <w:top w:val="single" w:sz="4" w:space="0" w:color="auto"/>
              <w:left w:val="single" w:sz="4" w:space="0" w:color="auto"/>
              <w:bottom w:val="single" w:sz="4" w:space="0" w:color="auto"/>
              <w:right w:val="single" w:sz="4" w:space="0" w:color="auto"/>
            </w:tcBorders>
            <w:hideMark/>
          </w:tcPr>
          <w:p w:rsidR="004A04B3" w:rsidRPr="009104C7" w:rsidRDefault="004A04B3" w:rsidP="004A04B3">
            <w:pPr>
              <w:widowControl/>
              <w:rPr>
                <w:rFonts w:asciiTheme="minorEastAsia" w:hAnsiTheme="minorEastAsia" w:cs="Times New Roman"/>
                <w:b/>
                <w:color w:val="000000"/>
                <w:kern w:val="0"/>
                <w:szCs w:val="24"/>
              </w:rPr>
            </w:pPr>
            <w:r w:rsidRPr="009104C7">
              <w:rPr>
                <w:rFonts w:asciiTheme="minorEastAsia" w:hAnsiTheme="minorEastAsia" w:cs="Times New Roman"/>
                <w:b/>
                <w:color w:val="000000"/>
                <w:kern w:val="0"/>
                <w:szCs w:val="24"/>
              </w:rPr>
              <w:t>2012</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10</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jc w:val="right"/>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 xml:space="preserve">  112.0</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jc w:val="right"/>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+3.8</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jc w:val="right"/>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 xml:space="preserve">  113.4</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jc w:val="right"/>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+4.3</w:t>
            </w:r>
          </w:p>
        </w:tc>
      </w:tr>
      <w:tr w:rsidR="004A04B3" w:rsidRPr="009104C7" w:rsidTr="004A04B3">
        <w:trPr>
          <w:trHeight w:val="457"/>
        </w:trPr>
        <w:tc>
          <w:tcPr>
            <w:tcW w:w="0" w:type="auto"/>
            <w:gridSpan w:val="2"/>
            <w:tcBorders>
              <w:top w:val="single" w:sz="4" w:space="0" w:color="auto"/>
              <w:left w:val="single" w:sz="4" w:space="0" w:color="auto"/>
              <w:bottom w:val="single" w:sz="4" w:space="0" w:color="auto"/>
              <w:right w:val="single" w:sz="4" w:space="0" w:color="auto"/>
            </w:tcBorders>
            <w:hideMark/>
          </w:tcPr>
          <w:p w:rsidR="004A04B3" w:rsidRPr="009104C7" w:rsidRDefault="004A04B3" w:rsidP="004A04B3">
            <w:pPr>
              <w:widowControl/>
              <w:rPr>
                <w:rFonts w:asciiTheme="minorEastAsia" w:hAnsiTheme="minorEastAsia" w:cs="Times New Roman"/>
                <w:b/>
                <w:color w:val="000000"/>
                <w:kern w:val="0"/>
                <w:szCs w:val="24"/>
              </w:rPr>
            </w:pPr>
            <w:r w:rsidRPr="009104C7">
              <w:rPr>
                <w:rFonts w:asciiTheme="minorEastAsia" w:hAnsiTheme="minorEastAsia" w:cs="Times New Roman"/>
                <w:b/>
                <w:color w:val="000000"/>
                <w:kern w:val="0"/>
                <w:szCs w:val="24"/>
              </w:rPr>
              <w:t>2013</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10</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jc w:val="right"/>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 xml:space="preserve">  116.8</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jc w:val="right"/>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+4.3</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jc w:val="right"/>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 xml:space="preserve">  118.5</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jc w:val="right"/>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+4.5</w:t>
            </w:r>
          </w:p>
        </w:tc>
      </w:tr>
      <w:tr w:rsidR="004A04B3" w:rsidRPr="009104C7" w:rsidTr="004A04B3">
        <w:trPr>
          <w:trHeight w:val="457"/>
        </w:trPr>
        <w:tc>
          <w:tcPr>
            <w:tcW w:w="0" w:type="auto"/>
            <w:tcBorders>
              <w:top w:val="single" w:sz="4" w:space="0" w:color="auto"/>
              <w:left w:val="single" w:sz="4" w:space="0" w:color="auto"/>
              <w:bottom w:val="single" w:sz="4" w:space="0" w:color="auto"/>
            </w:tcBorders>
            <w:hideMark/>
          </w:tcPr>
          <w:p w:rsidR="004A04B3" w:rsidRPr="009104C7" w:rsidRDefault="004A04B3" w:rsidP="004A04B3">
            <w:pPr>
              <w:widowControl/>
              <w:rPr>
                <w:rFonts w:asciiTheme="minorEastAsia" w:hAnsiTheme="minorEastAsia" w:cs="Times New Roman"/>
                <w:b/>
                <w:bCs/>
                <w:color w:val="000000"/>
                <w:kern w:val="0"/>
                <w:szCs w:val="24"/>
              </w:rPr>
            </w:pPr>
            <w:r w:rsidRPr="009104C7">
              <w:rPr>
                <w:rFonts w:asciiTheme="minorEastAsia" w:hAnsiTheme="minorEastAsia" w:cs="Times New Roman"/>
                <w:b/>
                <w:color w:val="000000"/>
                <w:kern w:val="0"/>
                <w:szCs w:val="24"/>
              </w:rPr>
              <w:t>2014</w:t>
            </w:r>
          </w:p>
        </w:tc>
        <w:tc>
          <w:tcPr>
            <w:tcW w:w="0" w:type="auto"/>
            <w:tcBorders>
              <w:top w:val="single" w:sz="4" w:space="0" w:color="auto"/>
              <w:bottom w:val="single" w:sz="4" w:space="0" w:color="auto"/>
              <w:right w:val="single" w:sz="4" w:space="0" w:color="auto"/>
            </w:tcBorders>
          </w:tcPr>
          <w:p w:rsidR="004A04B3" w:rsidRPr="009104C7" w:rsidRDefault="004A04B3" w:rsidP="004A04B3">
            <w:pPr>
              <w:widowControl/>
              <w:rPr>
                <w:rFonts w:asciiTheme="minorEastAsia" w:hAnsiTheme="minorEastAsia" w:cs="Times New Roman"/>
                <w:b/>
                <w:color w:val="000000"/>
                <w:kern w:val="0"/>
                <w:szCs w:val="24"/>
              </w:rPr>
            </w:pP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10</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jc w:val="right"/>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 xml:space="preserve">  122.9</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jc w:val="right"/>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+5.2</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jc w:val="right"/>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 xml:space="preserve">  126.9</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jc w:val="right"/>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+7.1</w:t>
            </w:r>
          </w:p>
        </w:tc>
      </w:tr>
      <w:tr w:rsidR="004A04B3" w:rsidRPr="009104C7" w:rsidTr="004A04B3">
        <w:trPr>
          <w:trHeight w:val="457"/>
        </w:trPr>
        <w:tc>
          <w:tcPr>
            <w:tcW w:w="0" w:type="auto"/>
            <w:tcBorders>
              <w:top w:val="single" w:sz="4" w:space="0" w:color="auto"/>
              <w:left w:val="single" w:sz="4" w:space="0" w:color="auto"/>
              <w:bottom w:val="single" w:sz="4" w:space="0" w:color="auto"/>
            </w:tcBorders>
            <w:hideMark/>
          </w:tcPr>
          <w:p w:rsidR="004A04B3" w:rsidRPr="009104C7" w:rsidRDefault="004A04B3" w:rsidP="004A04B3">
            <w:pPr>
              <w:widowControl/>
              <w:rPr>
                <w:rFonts w:asciiTheme="minorEastAsia" w:hAnsiTheme="minorEastAsia" w:cs="Times New Roman"/>
                <w:b/>
                <w:bCs/>
                <w:color w:val="000000"/>
                <w:kern w:val="0"/>
                <w:szCs w:val="24"/>
              </w:rPr>
            </w:pPr>
            <w:r>
              <w:rPr>
                <w:rFonts w:asciiTheme="minorEastAsia" w:hAnsiTheme="minorEastAsia" w:cs="Times New Roman" w:hint="eastAsia"/>
                <w:b/>
                <w:bCs/>
                <w:color w:val="000000"/>
                <w:kern w:val="0"/>
                <w:szCs w:val="24"/>
              </w:rPr>
              <w:t>2015</w:t>
            </w:r>
          </w:p>
        </w:tc>
        <w:tc>
          <w:tcPr>
            <w:tcW w:w="0" w:type="auto"/>
            <w:tcBorders>
              <w:top w:val="single" w:sz="4" w:space="0" w:color="auto"/>
              <w:bottom w:val="single" w:sz="4" w:space="0" w:color="auto"/>
              <w:right w:val="single" w:sz="4" w:space="0" w:color="auto"/>
            </w:tcBorders>
          </w:tcPr>
          <w:p w:rsidR="004A04B3" w:rsidRPr="009104C7" w:rsidRDefault="004A04B3" w:rsidP="004A04B3">
            <w:pPr>
              <w:widowControl/>
              <w:rPr>
                <w:rFonts w:asciiTheme="minorEastAsia" w:hAnsiTheme="minorEastAsia" w:cs="Times New Roman"/>
                <w:b/>
                <w:color w:val="000000"/>
                <w:kern w:val="0"/>
                <w:szCs w:val="24"/>
              </w:rPr>
            </w:pP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10</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jc w:val="right"/>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 xml:space="preserve">  125.8</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jc w:val="right"/>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+2.4</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jc w:val="right"/>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 xml:space="preserve">  130.2</w:t>
            </w:r>
          </w:p>
        </w:tc>
        <w:tc>
          <w:tcPr>
            <w:tcW w:w="0" w:type="auto"/>
            <w:tcBorders>
              <w:top w:val="single" w:sz="4" w:space="0" w:color="auto"/>
              <w:left w:val="single" w:sz="4" w:space="0" w:color="auto"/>
              <w:bottom w:val="single" w:sz="4" w:space="0" w:color="auto"/>
              <w:right w:val="single" w:sz="4" w:space="0" w:color="auto"/>
            </w:tcBorders>
            <w:noWrap/>
            <w:hideMark/>
          </w:tcPr>
          <w:p w:rsidR="004A04B3" w:rsidRPr="009104C7" w:rsidRDefault="004A04B3" w:rsidP="004A04B3">
            <w:pPr>
              <w:widowControl/>
              <w:jc w:val="right"/>
              <w:rPr>
                <w:rFonts w:asciiTheme="minorEastAsia" w:hAnsiTheme="minorEastAsia" w:cs="Times New Roman"/>
                <w:b/>
                <w:color w:val="000000"/>
                <w:kern w:val="0"/>
                <w:szCs w:val="24"/>
              </w:rPr>
            </w:pPr>
            <w:r w:rsidRPr="009104C7">
              <w:rPr>
                <w:rFonts w:asciiTheme="minorEastAsia" w:hAnsiTheme="minorEastAsia" w:cs="Times New Roman" w:hint="eastAsia"/>
                <w:b/>
                <w:color w:val="000000"/>
                <w:kern w:val="0"/>
                <w:szCs w:val="24"/>
              </w:rPr>
              <w:t>+2.6</w:t>
            </w:r>
          </w:p>
        </w:tc>
      </w:tr>
    </w:tbl>
    <w:p w:rsidR="00B517D4" w:rsidRDefault="00B517D4" w:rsidP="00E73637">
      <w:pPr>
        <w:spacing w:line="276" w:lineRule="auto"/>
        <w:rPr>
          <w:rFonts w:asciiTheme="minorEastAsia" w:hAnsiTheme="minorEastAsia"/>
          <w:b/>
          <w:szCs w:val="24"/>
          <w:lang w:eastAsia="zh-HK"/>
        </w:rPr>
      </w:pPr>
    </w:p>
    <w:p w:rsidR="00E3693B" w:rsidRPr="00E73637" w:rsidRDefault="00E73637" w:rsidP="00E73637">
      <w:pPr>
        <w:spacing w:line="276" w:lineRule="auto"/>
        <w:rPr>
          <w:rFonts w:asciiTheme="minorEastAsia" w:hAnsiTheme="minorEastAsia"/>
          <w:b/>
          <w:szCs w:val="24"/>
          <w:lang w:eastAsia="zh-HK"/>
        </w:rPr>
      </w:pPr>
      <w:r w:rsidRPr="00E73637">
        <w:rPr>
          <w:rFonts w:asciiTheme="minorEastAsia" w:hAnsiTheme="minorEastAsia" w:hint="eastAsia"/>
          <w:b/>
          <w:szCs w:val="24"/>
          <w:lang w:eastAsia="zh-HK"/>
        </w:rPr>
        <w:t>圖2. 2007-2014 九巴</w:t>
      </w:r>
      <w:proofErr w:type="gramStart"/>
      <w:r w:rsidRPr="00E73637">
        <w:rPr>
          <w:rFonts w:asciiTheme="minorEastAsia" w:hAnsiTheme="minorEastAsia" w:hint="eastAsia"/>
          <w:b/>
          <w:szCs w:val="24"/>
          <w:lang w:eastAsia="zh-HK"/>
        </w:rPr>
        <w:t>及港鐵價格</w:t>
      </w:r>
      <w:proofErr w:type="gramEnd"/>
      <w:r w:rsidRPr="00E73637">
        <w:rPr>
          <w:rFonts w:asciiTheme="minorEastAsia" w:hAnsiTheme="minorEastAsia" w:hint="eastAsia"/>
          <w:b/>
          <w:szCs w:val="24"/>
          <w:lang w:eastAsia="zh-HK"/>
        </w:rPr>
        <w:t>升幅</w:t>
      </w:r>
    </w:p>
    <w:p w:rsidR="00E3693B" w:rsidRDefault="00E73637" w:rsidP="0019683C">
      <w:pPr>
        <w:spacing w:line="276" w:lineRule="auto"/>
        <w:ind w:firstLineChars="200" w:firstLine="480"/>
        <w:rPr>
          <w:rFonts w:asciiTheme="minorEastAsia" w:hAnsiTheme="minorEastAsia"/>
          <w:szCs w:val="24"/>
          <w:lang w:eastAsia="zh-HK"/>
        </w:rPr>
      </w:pPr>
      <w:r>
        <w:rPr>
          <w:noProof/>
        </w:rPr>
        <w:drawing>
          <wp:anchor distT="0" distB="0" distL="114300" distR="114300" simplePos="0" relativeHeight="251661312" behindDoc="1" locked="0" layoutInCell="1" allowOverlap="1">
            <wp:simplePos x="0" y="0"/>
            <wp:positionH relativeFrom="column">
              <wp:posOffset>-116840</wp:posOffset>
            </wp:positionH>
            <wp:positionV relativeFrom="paragraph">
              <wp:posOffset>246380</wp:posOffset>
            </wp:positionV>
            <wp:extent cx="5274310" cy="2860040"/>
            <wp:effectExtent l="0" t="0" r="2540" b="0"/>
            <wp:wrapThrough wrapText="bothSides">
              <wp:wrapPolygon edited="0">
                <wp:start x="0" y="0"/>
                <wp:lineTo x="0" y="21581"/>
                <wp:lineTo x="21610" y="21581"/>
                <wp:lineTo x="21610" y="0"/>
                <wp:lineTo x="0" y="0"/>
              </wp:wrapPolygon>
            </wp:wrapThrough>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A14EE1" w:rsidRDefault="00D01CA3" w:rsidP="0019683C">
      <w:pPr>
        <w:spacing w:line="276" w:lineRule="auto"/>
        <w:ind w:firstLineChars="200" w:firstLine="480"/>
        <w:rPr>
          <w:rFonts w:asciiTheme="minorEastAsia" w:hAnsiTheme="minorEastAsia"/>
          <w:szCs w:val="24"/>
          <w:lang w:eastAsia="zh-HK"/>
        </w:rPr>
      </w:pPr>
      <w:r w:rsidRPr="00D01CA3">
        <w:rPr>
          <w:rFonts w:asciiTheme="minorEastAsia" w:hAnsiTheme="minorEastAsia" w:hint="eastAsia"/>
          <w:szCs w:val="24"/>
          <w:lang w:eastAsia="zh-HK"/>
        </w:rPr>
        <w:t>甲類消費物價指數由200</w:t>
      </w:r>
      <w:r w:rsidR="00FA1694">
        <w:rPr>
          <w:rFonts w:asciiTheme="minorEastAsia" w:hAnsiTheme="minorEastAsia" w:hint="eastAsia"/>
          <w:szCs w:val="24"/>
          <w:lang w:eastAsia="zh-HK"/>
        </w:rPr>
        <w:t>9</w:t>
      </w:r>
      <w:r w:rsidRPr="00D01CA3">
        <w:rPr>
          <w:rFonts w:asciiTheme="minorEastAsia" w:hAnsiTheme="minorEastAsia" w:hint="eastAsia"/>
          <w:szCs w:val="24"/>
          <w:lang w:eastAsia="zh-HK"/>
        </w:rPr>
        <w:t>年10月的</w:t>
      </w:r>
      <w:r w:rsidR="00FA1694">
        <w:rPr>
          <w:rFonts w:asciiTheme="minorEastAsia" w:hAnsiTheme="minorEastAsia" w:hint="eastAsia"/>
          <w:szCs w:val="24"/>
          <w:lang w:eastAsia="zh-HK"/>
        </w:rPr>
        <w:t>98.3</w:t>
      </w:r>
      <w:r w:rsidRPr="00D01CA3">
        <w:rPr>
          <w:rFonts w:asciiTheme="minorEastAsia" w:hAnsiTheme="minorEastAsia" w:hint="eastAsia"/>
          <w:szCs w:val="24"/>
          <w:lang w:eastAsia="zh-HK"/>
        </w:rPr>
        <w:t>增加至</w:t>
      </w:r>
      <w:r w:rsidR="00B4727F">
        <w:rPr>
          <w:rFonts w:asciiTheme="minorEastAsia" w:hAnsiTheme="minorEastAsia" w:hint="eastAsia"/>
          <w:szCs w:val="24"/>
          <w:lang w:eastAsia="zh-HK"/>
        </w:rPr>
        <w:t>2015</w:t>
      </w:r>
      <w:r w:rsidRPr="00D01CA3">
        <w:rPr>
          <w:rFonts w:asciiTheme="minorEastAsia" w:hAnsiTheme="minorEastAsia" w:hint="eastAsia"/>
          <w:szCs w:val="24"/>
          <w:lang w:eastAsia="zh-HK"/>
        </w:rPr>
        <w:t>年</w:t>
      </w:r>
      <w:r w:rsidR="00B4727F">
        <w:rPr>
          <w:rFonts w:asciiTheme="minorEastAsia" w:hAnsiTheme="minorEastAsia" w:hint="eastAsia"/>
          <w:szCs w:val="24"/>
          <w:lang w:eastAsia="zh-HK"/>
        </w:rPr>
        <w:t>10</w:t>
      </w:r>
      <w:r w:rsidRPr="00D01CA3">
        <w:rPr>
          <w:rFonts w:asciiTheme="minorEastAsia" w:hAnsiTheme="minorEastAsia" w:hint="eastAsia"/>
          <w:szCs w:val="24"/>
          <w:lang w:eastAsia="zh-HK"/>
        </w:rPr>
        <w:t xml:space="preserve"> 月的</w:t>
      </w:r>
      <w:r w:rsidR="00FA1694">
        <w:rPr>
          <w:rFonts w:asciiTheme="minorEastAsia" w:hAnsiTheme="minorEastAsia" w:hint="eastAsia"/>
          <w:szCs w:val="24"/>
          <w:lang w:eastAsia="zh-HK"/>
        </w:rPr>
        <w:t>130.2</w:t>
      </w:r>
      <w:r w:rsidR="00E73323">
        <w:rPr>
          <w:rFonts w:asciiTheme="minorEastAsia" w:hAnsiTheme="minorEastAsia" w:hint="eastAsia"/>
          <w:szCs w:val="24"/>
          <w:lang w:eastAsia="zh-HK"/>
        </w:rPr>
        <w:t>，平均</w:t>
      </w:r>
      <w:r w:rsidR="00E73323" w:rsidRPr="00E73323">
        <w:rPr>
          <w:rFonts w:asciiTheme="minorEastAsia" w:hAnsiTheme="minorEastAsia" w:hint="eastAsia"/>
          <w:szCs w:val="24"/>
          <w:lang w:eastAsia="zh-HK"/>
        </w:rPr>
        <w:t>按年變動百分率</w:t>
      </w:r>
      <w:r w:rsidR="00E73323">
        <w:rPr>
          <w:rFonts w:asciiTheme="minorEastAsia" w:hAnsiTheme="minorEastAsia" w:hint="eastAsia"/>
          <w:szCs w:val="24"/>
          <w:lang w:eastAsia="zh-HK"/>
        </w:rPr>
        <w:t>為4.19%</w:t>
      </w:r>
      <w:r w:rsidRPr="00D01CA3">
        <w:rPr>
          <w:rFonts w:asciiTheme="minorEastAsia" w:hAnsiTheme="minorEastAsia" w:hint="eastAsia"/>
          <w:szCs w:val="24"/>
          <w:lang w:eastAsia="zh-HK"/>
        </w:rPr>
        <w:t>，綜合消費物價指數亦由2009年10月</w:t>
      </w:r>
      <w:r w:rsidR="00E73323">
        <w:rPr>
          <w:rFonts w:asciiTheme="minorEastAsia" w:hAnsiTheme="minorEastAsia" w:hint="eastAsia"/>
          <w:szCs w:val="24"/>
          <w:lang w:eastAsia="zh-HK"/>
        </w:rPr>
        <w:t>99.5</w:t>
      </w:r>
      <w:r w:rsidR="00461D6D">
        <w:rPr>
          <w:rFonts w:asciiTheme="minorEastAsia" w:hAnsiTheme="minorEastAsia" w:hint="eastAsia"/>
          <w:szCs w:val="24"/>
          <w:lang w:eastAsia="zh-HK"/>
        </w:rPr>
        <w:t>增加至</w:t>
      </w:r>
      <w:r w:rsidR="00461D6D" w:rsidRPr="00461D6D">
        <w:rPr>
          <w:rFonts w:asciiTheme="minorEastAsia" w:hAnsiTheme="minorEastAsia"/>
          <w:szCs w:val="24"/>
          <w:lang w:eastAsia="zh-HK"/>
        </w:rPr>
        <w:t>2015</w:t>
      </w:r>
      <w:r w:rsidRPr="00D01CA3">
        <w:rPr>
          <w:rFonts w:asciiTheme="minorEastAsia" w:hAnsiTheme="minorEastAsia" w:hint="eastAsia"/>
          <w:szCs w:val="24"/>
          <w:lang w:eastAsia="zh-HK"/>
        </w:rPr>
        <w:t>年</w:t>
      </w:r>
      <w:r w:rsidR="00E73323">
        <w:rPr>
          <w:rFonts w:asciiTheme="minorEastAsia" w:hAnsiTheme="minorEastAsia" w:hint="eastAsia"/>
          <w:szCs w:val="24"/>
          <w:lang w:eastAsia="zh-HK"/>
        </w:rPr>
        <w:t>10</w:t>
      </w:r>
      <w:r w:rsidRPr="00D01CA3">
        <w:rPr>
          <w:rFonts w:asciiTheme="minorEastAsia" w:hAnsiTheme="minorEastAsia" w:hint="eastAsia"/>
          <w:szCs w:val="24"/>
          <w:lang w:eastAsia="zh-HK"/>
        </w:rPr>
        <w:t xml:space="preserve"> 月的</w:t>
      </w:r>
      <w:r w:rsidR="00E73323">
        <w:rPr>
          <w:rFonts w:asciiTheme="minorEastAsia" w:hAnsiTheme="minorEastAsia" w:hint="eastAsia"/>
          <w:szCs w:val="24"/>
          <w:lang w:eastAsia="zh-HK"/>
        </w:rPr>
        <w:t>125.8</w:t>
      </w:r>
      <w:r w:rsidRPr="00D01CA3">
        <w:rPr>
          <w:rFonts w:asciiTheme="minorEastAsia" w:hAnsiTheme="minorEastAsia" w:hint="eastAsia"/>
          <w:szCs w:val="24"/>
          <w:lang w:eastAsia="zh-HK"/>
        </w:rPr>
        <w:t>，</w:t>
      </w:r>
      <w:r w:rsidR="00E73323" w:rsidRPr="00E73323">
        <w:rPr>
          <w:rFonts w:asciiTheme="minorEastAsia" w:hAnsiTheme="minorEastAsia" w:hint="eastAsia"/>
          <w:szCs w:val="24"/>
          <w:lang w:eastAsia="zh-HK"/>
        </w:rPr>
        <w:t>平均按年變動百分率為</w:t>
      </w:r>
      <w:r w:rsidR="00E73323">
        <w:rPr>
          <w:rFonts w:asciiTheme="minorEastAsia" w:hAnsiTheme="minorEastAsia" w:hint="eastAsia"/>
          <w:szCs w:val="24"/>
          <w:lang w:eastAsia="zh-HK"/>
        </w:rPr>
        <w:t>3.54</w:t>
      </w:r>
      <w:r w:rsidRPr="00D01CA3">
        <w:rPr>
          <w:rFonts w:asciiTheme="minorEastAsia" w:hAnsiTheme="minorEastAsia" w:hint="eastAsia"/>
          <w:szCs w:val="24"/>
          <w:lang w:eastAsia="zh-HK"/>
        </w:rPr>
        <w:t>%。估計基層僱員用於交通開支也</w:t>
      </w:r>
      <w:r w:rsidRPr="00D01CA3">
        <w:rPr>
          <w:rFonts w:asciiTheme="minorEastAsia" w:hAnsiTheme="minorEastAsia" w:hint="eastAsia"/>
          <w:szCs w:val="24"/>
          <w:lang w:eastAsia="zh-HK"/>
        </w:rPr>
        <w:lastRenderedPageBreak/>
        <w:t>不斷上升，</w:t>
      </w:r>
      <w:r>
        <w:rPr>
          <w:rFonts w:asciiTheme="minorEastAsia" w:hAnsiTheme="minorEastAsia" w:hint="eastAsia"/>
          <w:szCs w:val="24"/>
          <w:lang w:eastAsia="zh-HK"/>
        </w:rPr>
        <w:t>其中</w:t>
      </w:r>
      <w:r w:rsidRPr="00D01CA3">
        <w:rPr>
          <w:rFonts w:asciiTheme="minorEastAsia" w:hAnsiTheme="minorEastAsia" w:hint="eastAsia"/>
          <w:szCs w:val="24"/>
          <w:lang w:eastAsia="zh-HK"/>
        </w:rPr>
        <w:t>港鐵</w:t>
      </w:r>
      <w:r w:rsidR="00C20224">
        <w:rPr>
          <w:rFonts w:asciiTheme="minorEastAsia" w:hAnsiTheme="minorEastAsia" w:hint="eastAsia"/>
          <w:szCs w:val="24"/>
          <w:lang w:eastAsia="zh-HK"/>
        </w:rPr>
        <w:t>和</w:t>
      </w:r>
      <w:r w:rsidR="00C20224" w:rsidRPr="00C20224">
        <w:rPr>
          <w:rFonts w:asciiTheme="minorEastAsia" w:hAnsiTheme="minorEastAsia" w:hint="eastAsia"/>
          <w:szCs w:val="24"/>
          <w:lang w:eastAsia="zh-HK"/>
        </w:rPr>
        <w:t>九巴</w:t>
      </w:r>
      <w:r w:rsidRPr="00D01CA3">
        <w:rPr>
          <w:rFonts w:asciiTheme="minorEastAsia" w:hAnsiTheme="minorEastAsia" w:hint="eastAsia"/>
          <w:szCs w:val="24"/>
          <w:lang w:eastAsia="zh-HK"/>
        </w:rPr>
        <w:t>自2009年至</w:t>
      </w:r>
      <w:r w:rsidR="00461D6D" w:rsidRPr="00461D6D">
        <w:rPr>
          <w:rFonts w:asciiTheme="minorEastAsia" w:hAnsiTheme="minorEastAsia"/>
          <w:szCs w:val="24"/>
          <w:lang w:eastAsia="zh-HK"/>
        </w:rPr>
        <w:t>2015</w:t>
      </w:r>
      <w:r w:rsidR="00461D6D" w:rsidRPr="00461D6D">
        <w:rPr>
          <w:rFonts w:asciiTheme="minorEastAsia" w:hAnsiTheme="minorEastAsia" w:hint="eastAsia"/>
          <w:szCs w:val="24"/>
          <w:lang w:eastAsia="zh-HK"/>
        </w:rPr>
        <w:t>年</w:t>
      </w:r>
      <w:r w:rsidRPr="00D01CA3">
        <w:rPr>
          <w:rFonts w:asciiTheme="minorEastAsia" w:hAnsiTheme="minorEastAsia" w:hint="eastAsia"/>
          <w:szCs w:val="24"/>
          <w:lang w:eastAsia="zh-HK"/>
        </w:rPr>
        <w:t>累積加幅</w:t>
      </w:r>
      <w:r>
        <w:rPr>
          <w:rFonts w:asciiTheme="minorEastAsia" w:hAnsiTheme="minorEastAsia" w:hint="eastAsia"/>
          <w:szCs w:val="24"/>
          <w:lang w:eastAsia="zh-HK"/>
        </w:rPr>
        <w:t>逾</w:t>
      </w:r>
      <w:r w:rsidRPr="00D01CA3">
        <w:rPr>
          <w:rFonts w:asciiTheme="minorEastAsia" w:hAnsiTheme="minorEastAsia" w:hint="eastAsia"/>
          <w:szCs w:val="24"/>
          <w:lang w:eastAsia="zh-HK"/>
        </w:rPr>
        <w:t>1</w:t>
      </w:r>
      <w:r>
        <w:rPr>
          <w:rFonts w:asciiTheme="minorEastAsia" w:hAnsiTheme="minorEastAsia" w:hint="eastAsia"/>
          <w:szCs w:val="24"/>
          <w:lang w:eastAsia="zh-HK"/>
        </w:rPr>
        <w:t>0</w:t>
      </w:r>
      <w:r w:rsidRPr="00D01CA3">
        <w:rPr>
          <w:rFonts w:asciiTheme="minorEastAsia" w:hAnsiTheme="minorEastAsia" w:hint="eastAsia"/>
          <w:szCs w:val="24"/>
          <w:lang w:eastAsia="zh-HK"/>
        </w:rPr>
        <w:t>%。$600的津貼金額卻未有跟隨調整，</w:t>
      </w:r>
      <w:proofErr w:type="gramStart"/>
      <w:r w:rsidRPr="00D01CA3">
        <w:rPr>
          <w:rFonts w:asciiTheme="minorEastAsia" w:hAnsiTheme="minorEastAsia" w:hint="eastAsia"/>
          <w:szCs w:val="24"/>
          <w:lang w:eastAsia="zh-HK"/>
        </w:rPr>
        <w:t>社協建議交津</w:t>
      </w:r>
      <w:proofErr w:type="gramEnd"/>
      <w:r w:rsidRPr="00D01CA3">
        <w:rPr>
          <w:rFonts w:asciiTheme="minorEastAsia" w:hAnsiTheme="minorEastAsia" w:hint="eastAsia"/>
          <w:szCs w:val="24"/>
          <w:lang w:eastAsia="zh-HK"/>
        </w:rPr>
        <w:t>整體金額應該至少提高至$850，以追上物價及</w:t>
      </w:r>
      <w:proofErr w:type="gramStart"/>
      <w:r w:rsidRPr="00D01CA3">
        <w:rPr>
          <w:rFonts w:asciiTheme="minorEastAsia" w:hAnsiTheme="minorEastAsia" w:hint="eastAsia"/>
          <w:szCs w:val="24"/>
          <w:lang w:eastAsia="zh-HK"/>
        </w:rPr>
        <w:t>通脹等開支</w:t>
      </w:r>
      <w:proofErr w:type="gramEnd"/>
      <w:r w:rsidRPr="00D01CA3">
        <w:rPr>
          <w:rFonts w:asciiTheme="minorEastAsia" w:hAnsiTheme="minorEastAsia" w:hint="eastAsia"/>
          <w:szCs w:val="24"/>
          <w:lang w:eastAsia="zh-HK"/>
        </w:rPr>
        <w:t>，並且逐年調整津貼金額和申請資格。</w:t>
      </w:r>
    </w:p>
    <w:p w:rsidR="00C20224" w:rsidRPr="00C20224" w:rsidRDefault="00C20224" w:rsidP="0019683C">
      <w:pPr>
        <w:spacing w:line="276" w:lineRule="auto"/>
        <w:ind w:firstLineChars="200" w:firstLine="480"/>
        <w:rPr>
          <w:rFonts w:asciiTheme="minorEastAsia" w:hAnsiTheme="minorEastAsia"/>
          <w:szCs w:val="24"/>
          <w:lang w:eastAsia="zh-HK"/>
        </w:rPr>
      </w:pPr>
    </w:p>
    <w:p w:rsidR="005A68B9" w:rsidRPr="006263F4" w:rsidRDefault="004E2A1C" w:rsidP="00A14EE1">
      <w:pPr>
        <w:spacing w:line="276" w:lineRule="auto"/>
        <w:rPr>
          <w:rFonts w:ascii="華康儷粗黑" w:eastAsia="華康儷粗黑" w:hAnsiTheme="minorEastAsia"/>
          <w:b/>
          <w:szCs w:val="24"/>
          <w:u w:val="single"/>
          <w:lang w:eastAsia="zh-HK"/>
        </w:rPr>
      </w:pPr>
      <w:r w:rsidRPr="006263F4">
        <w:rPr>
          <w:rFonts w:ascii="華康儷粗黑" w:eastAsia="華康儷粗黑" w:hAnsiTheme="minorEastAsia" w:hint="eastAsia"/>
          <w:b/>
          <w:szCs w:val="24"/>
          <w:u w:val="single"/>
        </w:rPr>
        <w:t>交通津貼入息</w:t>
      </w:r>
      <w:r w:rsidR="001437E2" w:rsidRPr="006263F4">
        <w:rPr>
          <w:rFonts w:ascii="華康儷粗黑" w:eastAsia="華康儷粗黑" w:hAnsiTheme="minorEastAsia" w:hint="eastAsia"/>
          <w:b/>
          <w:szCs w:val="24"/>
          <w:u w:val="single"/>
        </w:rPr>
        <w:t xml:space="preserve">限額    </w:t>
      </w:r>
      <w:r w:rsidRPr="006263F4">
        <w:rPr>
          <w:rFonts w:ascii="華康儷粗黑" w:eastAsia="華康儷粗黑" w:hAnsiTheme="minorEastAsia" w:hint="eastAsia"/>
          <w:b/>
          <w:szCs w:val="24"/>
          <w:u w:val="single"/>
        </w:rPr>
        <w:t xml:space="preserve">沒有考慮住屋開支    </w:t>
      </w:r>
      <w:r w:rsidR="001437E2" w:rsidRPr="006263F4">
        <w:rPr>
          <w:rFonts w:ascii="華康儷粗黑" w:eastAsia="華康儷粗黑" w:hAnsiTheme="minorEastAsia" w:hint="eastAsia"/>
          <w:b/>
          <w:szCs w:val="24"/>
          <w:u w:val="single"/>
        </w:rPr>
        <w:t>低於公屋申請限額</w:t>
      </w:r>
    </w:p>
    <w:p w:rsidR="00605F9D" w:rsidRPr="004A04B3" w:rsidRDefault="00A14EE1" w:rsidP="004A04B3">
      <w:pPr>
        <w:spacing w:line="276" w:lineRule="auto"/>
        <w:jc w:val="both"/>
        <w:rPr>
          <w:rFonts w:ascii="Times New Roman" w:hAnsi="Times New Roman" w:cs="Times New Roman"/>
          <w:szCs w:val="24"/>
          <w:lang w:eastAsia="zh-HK"/>
        </w:rPr>
      </w:pPr>
      <w:r w:rsidRPr="00BA1C0F">
        <w:rPr>
          <w:rFonts w:ascii="Times New Roman" w:hAnsi="Times New Roman" w:cs="Times New Roman"/>
          <w:b/>
          <w:szCs w:val="24"/>
          <w:lang w:eastAsia="zh-HK"/>
        </w:rPr>
        <w:t xml:space="preserve">  </w:t>
      </w:r>
      <w:proofErr w:type="gramStart"/>
      <w:r w:rsidRPr="00BA1C0F">
        <w:rPr>
          <w:rFonts w:ascii="Times New Roman" w:hAnsi="Times New Roman" w:cs="Times New Roman"/>
          <w:szCs w:val="24"/>
          <w:lang w:eastAsia="zh-HK"/>
        </w:rPr>
        <w:t>交津規定</w:t>
      </w:r>
      <w:proofErr w:type="gramEnd"/>
      <w:r w:rsidRPr="00BA1C0F">
        <w:rPr>
          <w:rFonts w:ascii="Times New Roman" w:hAnsi="Times New Roman" w:cs="Times New Roman"/>
          <w:szCs w:val="24"/>
          <w:lang w:eastAsia="zh-HK"/>
        </w:rPr>
        <w:t>，</w:t>
      </w:r>
      <w:r w:rsidRPr="00BA1C0F">
        <w:rPr>
          <w:rFonts w:ascii="Times New Roman" w:hAnsi="Times New Roman" w:cs="Times New Roman"/>
          <w:szCs w:val="24"/>
          <w:lang w:eastAsia="zh-HK"/>
        </w:rPr>
        <w:t>1</w:t>
      </w:r>
      <w:r w:rsidRPr="00BA1C0F">
        <w:rPr>
          <w:rFonts w:ascii="Times New Roman" w:hAnsi="Times New Roman" w:cs="Times New Roman"/>
          <w:szCs w:val="24"/>
          <w:lang w:eastAsia="zh-HK"/>
        </w:rPr>
        <w:t>人住戶入息限額為</w:t>
      </w:r>
      <w:r w:rsidRPr="00BA1C0F">
        <w:rPr>
          <w:rFonts w:ascii="Times New Roman" w:hAnsi="Times New Roman" w:cs="Times New Roman"/>
          <w:szCs w:val="24"/>
          <w:lang w:eastAsia="zh-HK"/>
        </w:rPr>
        <w:t>$8</w:t>
      </w:r>
      <w:r w:rsidR="00B517D4" w:rsidRPr="00BA1C0F">
        <w:rPr>
          <w:rFonts w:ascii="Times New Roman" w:hAnsi="Times New Roman" w:cs="Times New Roman"/>
          <w:szCs w:val="24"/>
          <w:lang w:eastAsia="zh-HK"/>
        </w:rPr>
        <w:t>，</w:t>
      </w:r>
      <w:r w:rsidRPr="00BA1C0F">
        <w:rPr>
          <w:rFonts w:ascii="Times New Roman" w:hAnsi="Times New Roman" w:cs="Times New Roman"/>
          <w:szCs w:val="24"/>
          <w:lang w:eastAsia="zh-HK"/>
        </w:rPr>
        <w:t>000</w:t>
      </w:r>
      <w:r w:rsidRPr="00BA1C0F">
        <w:rPr>
          <w:rFonts w:ascii="Times New Roman" w:hAnsi="Times New Roman" w:cs="Times New Roman"/>
          <w:szCs w:val="24"/>
          <w:lang w:eastAsia="zh-HK"/>
        </w:rPr>
        <w:t>、</w:t>
      </w:r>
      <w:r w:rsidRPr="00BA1C0F">
        <w:rPr>
          <w:rFonts w:ascii="Times New Roman" w:hAnsi="Times New Roman" w:cs="Times New Roman"/>
          <w:szCs w:val="24"/>
          <w:lang w:eastAsia="zh-HK"/>
        </w:rPr>
        <w:t>2</w:t>
      </w:r>
      <w:r w:rsidRPr="00BA1C0F">
        <w:rPr>
          <w:rFonts w:ascii="Times New Roman" w:hAnsi="Times New Roman" w:cs="Times New Roman"/>
          <w:szCs w:val="24"/>
          <w:lang w:eastAsia="zh-HK"/>
        </w:rPr>
        <w:t>人住戶為</w:t>
      </w:r>
      <w:r w:rsidRPr="00BA1C0F">
        <w:rPr>
          <w:rFonts w:ascii="Times New Roman" w:hAnsi="Times New Roman" w:cs="Times New Roman"/>
          <w:szCs w:val="24"/>
          <w:lang w:eastAsia="zh-HK"/>
        </w:rPr>
        <w:t>$15</w:t>
      </w:r>
      <w:r w:rsidR="00B517D4" w:rsidRPr="00BA1C0F">
        <w:rPr>
          <w:rFonts w:ascii="Times New Roman" w:hAnsi="Times New Roman" w:cs="Times New Roman"/>
          <w:szCs w:val="24"/>
          <w:lang w:eastAsia="zh-HK"/>
        </w:rPr>
        <w:t>，</w:t>
      </w:r>
      <w:r w:rsidRPr="00BA1C0F">
        <w:rPr>
          <w:rFonts w:ascii="Times New Roman" w:hAnsi="Times New Roman" w:cs="Times New Roman"/>
          <w:szCs w:val="24"/>
          <w:lang w:eastAsia="zh-HK"/>
        </w:rPr>
        <w:t>300</w:t>
      </w:r>
      <w:r w:rsidRPr="00BA1C0F">
        <w:rPr>
          <w:rFonts w:ascii="Times New Roman" w:hAnsi="Times New Roman" w:cs="Times New Roman"/>
          <w:szCs w:val="24"/>
          <w:lang w:eastAsia="zh-HK"/>
        </w:rPr>
        <w:t>、</w:t>
      </w:r>
      <w:r w:rsidRPr="00BA1C0F">
        <w:rPr>
          <w:rFonts w:ascii="Times New Roman" w:hAnsi="Times New Roman" w:cs="Times New Roman"/>
          <w:szCs w:val="24"/>
          <w:lang w:eastAsia="zh-HK"/>
        </w:rPr>
        <w:t>3</w:t>
      </w:r>
      <w:r w:rsidRPr="00BA1C0F">
        <w:rPr>
          <w:rFonts w:ascii="Times New Roman" w:hAnsi="Times New Roman" w:cs="Times New Roman"/>
          <w:szCs w:val="24"/>
          <w:lang w:eastAsia="zh-HK"/>
        </w:rPr>
        <w:t>人住戶為</w:t>
      </w:r>
      <w:r w:rsidRPr="00BA1C0F">
        <w:rPr>
          <w:rFonts w:ascii="Times New Roman" w:hAnsi="Times New Roman" w:cs="Times New Roman"/>
          <w:szCs w:val="24"/>
          <w:lang w:eastAsia="zh-HK"/>
        </w:rPr>
        <w:t>$17</w:t>
      </w:r>
      <w:r w:rsidR="00B517D4" w:rsidRPr="00BA1C0F">
        <w:rPr>
          <w:rFonts w:ascii="Times New Roman" w:hAnsi="Times New Roman" w:cs="Times New Roman"/>
          <w:szCs w:val="24"/>
          <w:lang w:eastAsia="zh-HK"/>
        </w:rPr>
        <w:t>，</w:t>
      </w:r>
      <w:r w:rsidRPr="00BA1C0F">
        <w:rPr>
          <w:rFonts w:ascii="Times New Roman" w:hAnsi="Times New Roman" w:cs="Times New Roman"/>
          <w:szCs w:val="24"/>
          <w:lang w:eastAsia="zh-HK"/>
        </w:rPr>
        <w:t>600</w:t>
      </w:r>
      <w:r w:rsidRPr="00BA1C0F">
        <w:rPr>
          <w:rFonts w:ascii="Times New Roman" w:hAnsi="Times New Roman" w:cs="Times New Roman"/>
          <w:szCs w:val="24"/>
          <w:lang w:eastAsia="zh-HK"/>
        </w:rPr>
        <w:t>。但同樣以補助低收入家庭的關愛基金</w:t>
      </w:r>
      <w:r w:rsidR="002433D6" w:rsidRPr="00BA1C0F">
        <w:rPr>
          <w:rFonts w:ascii="Times New Roman" w:hAnsi="Times New Roman" w:cs="Times New Roman"/>
          <w:szCs w:val="24"/>
          <w:lang w:eastAsia="zh-HK"/>
        </w:rPr>
        <w:t>(N</w:t>
      </w:r>
      <w:r w:rsidR="002433D6" w:rsidRPr="00BA1C0F">
        <w:rPr>
          <w:rFonts w:ascii="Times New Roman" w:hAnsi="Times New Roman" w:cs="Times New Roman"/>
          <w:szCs w:val="24"/>
          <w:lang w:eastAsia="zh-HK"/>
        </w:rPr>
        <w:t>無人士生活津貼</w:t>
      </w:r>
      <w:r w:rsidR="002433D6" w:rsidRPr="00BA1C0F">
        <w:rPr>
          <w:rFonts w:ascii="Times New Roman" w:hAnsi="Times New Roman" w:cs="Times New Roman"/>
          <w:szCs w:val="24"/>
          <w:lang w:eastAsia="zh-HK"/>
        </w:rPr>
        <w:t>)</w:t>
      </w:r>
      <w:r w:rsidRPr="00BA1C0F">
        <w:rPr>
          <w:rFonts w:ascii="Times New Roman" w:hAnsi="Times New Roman" w:cs="Times New Roman"/>
          <w:szCs w:val="24"/>
          <w:lang w:eastAsia="zh-HK"/>
        </w:rPr>
        <w:t>，</w:t>
      </w:r>
      <w:r w:rsidR="004E2A1C" w:rsidRPr="00BA1C0F">
        <w:rPr>
          <w:rFonts w:ascii="Times New Roman" w:hAnsi="Times New Roman" w:cs="Times New Roman"/>
          <w:szCs w:val="24"/>
        </w:rPr>
        <w:t>以申請</w:t>
      </w:r>
      <w:proofErr w:type="gramStart"/>
      <w:r w:rsidR="004E2A1C" w:rsidRPr="00BA1C0F">
        <w:rPr>
          <w:rFonts w:ascii="Times New Roman" w:hAnsi="Times New Roman" w:cs="Times New Roman"/>
          <w:szCs w:val="24"/>
        </w:rPr>
        <w:t>公屋入息</w:t>
      </w:r>
      <w:proofErr w:type="gramEnd"/>
      <w:r w:rsidR="004E2A1C" w:rsidRPr="00BA1C0F">
        <w:rPr>
          <w:rFonts w:ascii="Times New Roman" w:hAnsi="Times New Roman" w:cs="Times New Roman"/>
          <w:szCs w:val="24"/>
        </w:rPr>
        <w:t>限額為標準</w:t>
      </w:r>
      <w:r w:rsidR="00B517D4" w:rsidRPr="00BA1C0F">
        <w:rPr>
          <w:rFonts w:ascii="Times New Roman" w:hAnsi="Times New Roman" w:cs="Times New Roman"/>
          <w:szCs w:val="24"/>
        </w:rPr>
        <w:t>，</w:t>
      </w:r>
      <w:r w:rsidR="004E2A1C" w:rsidRPr="00BA1C0F">
        <w:rPr>
          <w:rFonts w:ascii="Times New Roman" w:hAnsi="Times New Roman" w:cs="Times New Roman"/>
          <w:szCs w:val="24"/>
        </w:rPr>
        <w:t xml:space="preserve"> </w:t>
      </w:r>
      <w:r w:rsidRPr="00BA1C0F">
        <w:rPr>
          <w:rFonts w:ascii="Times New Roman" w:hAnsi="Times New Roman" w:cs="Times New Roman"/>
          <w:szCs w:val="24"/>
          <w:lang w:eastAsia="zh-HK"/>
        </w:rPr>
        <w:t>1</w:t>
      </w:r>
      <w:r w:rsidRPr="00BA1C0F">
        <w:rPr>
          <w:rFonts w:ascii="Times New Roman" w:hAnsi="Times New Roman" w:cs="Times New Roman"/>
          <w:szCs w:val="24"/>
          <w:lang w:eastAsia="zh-HK"/>
        </w:rPr>
        <w:t>人住戶入息限額為</w:t>
      </w:r>
      <w:r w:rsidRPr="00BA1C0F">
        <w:rPr>
          <w:rFonts w:ascii="Times New Roman" w:hAnsi="Times New Roman" w:cs="Times New Roman"/>
          <w:szCs w:val="24"/>
          <w:lang w:eastAsia="zh-HK"/>
        </w:rPr>
        <w:t>$10</w:t>
      </w:r>
      <w:r w:rsidR="00B517D4" w:rsidRPr="00BA1C0F">
        <w:rPr>
          <w:rFonts w:ascii="Times New Roman" w:hAnsi="Times New Roman" w:cs="Times New Roman"/>
          <w:szCs w:val="24"/>
          <w:lang w:eastAsia="zh-HK"/>
        </w:rPr>
        <w:t>，</w:t>
      </w:r>
      <w:r w:rsidRPr="00BA1C0F">
        <w:rPr>
          <w:rFonts w:ascii="Times New Roman" w:hAnsi="Times New Roman" w:cs="Times New Roman"/>
          <w:szCs w:val="24"/>
          <w:lang w:eastAsia="zh-HK"/>
        </w:rPr>
        <w:t>100</w:t>
      </w:r>
      <w:r w:rsidRPr="00BA1C0F">
        <w:rPr>
          <w:rFonts w:ascii="Times New Roman" w:hAnsi="Times New Roman" w:cs="Times New Roman"/>
          <w:szCs w:val="24"/>
          <w:lang w:eastAsia="zh-HK"/>
        </w:rPr>
        <w:t>、</w:t>
      </w:r>
      <w:r w:rsidRPr="00BA1C0F">
        <w:rPr>
          <w:rFonts w:ascii="Times New Roman" w:hAnsi="Times New Roman" w:cs="Times New Roman"/>
          <w:szCs w:val="24"/>
          <w:lang w:eastAsia="zh-HK"/>
        </w:rPr>
        <w:t>2</w:t>
      </w:r>
      <w:r w:rsidRPr="00BA1C0F">
        <w:rPr>
          <w:rFonts w:ascii="Times New Roman" w:hAnsi="Times New Roman" w:cs="Times New Roman"/>
          <w:szCs w:val="24"/>
          <w:lang w:eastAsia="zh-HK"/>
        </w:rPr>
        <w:t>人住戶為</w:t>
      </w:r>
      <w:r w:rsidRPr="00BA1C0F">
        <w:rPr>
          <w:rFonts w:ascii="Times New Roman" w:hAnsi="Times New Roman" w:cs="Times New Roman"/>
          <w:szCs w:val="24"/>
          <w:lang w:eastAsia="zh-HK"/>
        </w:rPr>
        <w:t>$16</w:t>
      </w:r>
      <w:r w:rsidR="00B517D4" w:rsidRPr="00BA1C0F">
        <w:rPr>
          <w:rFonts w:ascii="Times New Roman" w:hAnsi="Times New Roman" w:cs="Times New Roman"/>
          <w:szCs w:val="24"/>
          <w:lang w:eastAsia="zh-HK"/>
        </w:rPr>
        <w:t>，</w:t>
      </w:r>
      <w:r w:rsidRPr="00BA1C0F">
        <w:rPr>
          <w:rFonts w:ascii="Times New Roman" w:hAnsi="Times New Roman" w:cs="Times New Roman"/>
          <w:szCs w:val="24"/>
          <w:lang w:eastAsia="zh-HK"/>
        </w:rPr>
        <w:t>140</w:t>
      </w:r>
      <w:r w:rsidRPr="00BA1C0F">
        <w:rPr>
          <w:rFonts w:ascii="Times New Roman" w:hAnsi="Times New Roman" w:cs="Times New Roman"/>
          <w:szCs w:val="24"/>
          <w:lang w:eastAsia="zh-HK"/>
        </w:rPr>
        <w:t>、</w:t>
      </w:r>
      <w:r w:rsidRPr="00BA1C0F">
        <w:rPr>
          <w:rFonts w:ascii="Times New Roman" w:hAnsi="Times New Roman" w:cs="Times New Roman"/>
          <w:szCs w:val="24"/>
          <w:lang w:eastAsia="zh-HK"/>
        </w:rPr>
        <w:t>3</w:t>
      </w:r>
      <w:r w:rsidRPr="00BA1C0F">
        <w:rPr>
          <w:rFonts w:ascii="Times New Roman" w:hAnsi="Times New Roman" w:cs="Times New Roman"/>
          <w:szCs w:val="24"/>
          <w:lang w:eastAsia="zh-HK"/>
        </w:rPr>
        <w:t>人住戶為</w:t>
      </w:r>
      <w:r w:rsidRPr="00BA1C0F">
        <w:rPr>
          <w:rFonts w:ascii="Times New Roman" w:hAnsi="Times New Roman" w:cs="Times New Roman"/>
          <w:szCs w:val="24"/>
          <w:lang w:eastAsia="zh-HK"/>
        </w:rPr>
        <w:t>$21</w:t>
      </w:r>
      <w:r w:rsidR="00B517D4" w:rsidRPr="00BA1C0F">
        <w:rPr>
          <w:rFonts w:ascii="Times New Roman" w:hAnsi="Times New Roman" w:cs="Times New Roman"/>
          <w:szCs w:val="24"/>
          <w:lang w:eastAsia="zh-HK"/>
        </w:rPr>
        <w:t>，</w:t>
      </w:r>
      <w:r w:rsidRPr="00BA1C0F">
        <w:rPr>
          <w:rFonts w:ascii="Times New Roman" w:hAnsi="Times New Roman" w:cs="Times New Roman"/>
          <w:szCs w:val="24"/>
          <w:lang w:eastAsia="zh-HK"/>
        </w:rPr>
        <w:t>075</w:t>
      </w:r>
      <w:r w:rsidR="00B517D4" w:rsidRPr="00BA1C0F">
        <w:rPr>
          <w:rFonts w:ascii="Times New Roman" w:hAnsi="Times New Roman" w:cs="Times New Roman"/>
          <w:szCs w:val="24"/>
        </w:rPr>
        <w:t>，</w:t>
      </w:r>
      <w:r w:rsidR="004E2A1C" w:rsidRPr="00BA1C0F">
        <w:rPr>
          <w:rFonts w:ascii="Times New Roman" w:hAnsi="Times New Roman" w:cs="Times New Roman"/>
          <w:szCs w:val="24"/>
        </w:rPr>
        <w:t xml:space="preserve"> </w:t>
      </w:r>
      <w:r w:rsidR="004E2A1C" w:rsidRPr="00BA1C0F">
        <w:rPr>
          <w:rFonts w:ascii="Times New Roman" w:hAnsi="Times New Roman" w:cs="Times New Roman"/>
          <w:szCs w:val="24"/>
        </w:rPr>
        <w:t>因</w:t>
      </w:r>
      <w:proofErr w:type="gramStart"/>
      <w:r w:rsidR="004E2A1C" w:rsidRPr="00BA1C0F">
        <w:rPr>
          <w:rFonts w:ascii="Times New Roman" w:hAnsi="Times New Roman" w:cs="Times New Roman"/>
          <w:szCs w:val="24"/>
        </w:rPr>
        <w:t>公屋入息</w:t>
      </w:r>
      <w:proofErr w:type="gramEnd"/>
      <w:r w:rsidR="001437E2" w:rsidRPr="00BA1C0F">
        <w:rPr>
          <w:rFonts w:ascii="Times New Roman" w:hAnsi="Times New Roman" w:cs="Times New Roman"/>
          <w:szCs w:val="24"/>
        </w:rPr>
        <w:t>限額有考慮</w:t>
      </w:r>
      <w:proofErr w:type="gramStart"/>
      <w:r w:rsidR="001437E2" w:rsidRPr="00BA1C0F">
        <w:rPr>
          <w:rFonts w:ascii="Times New Roman" w:hAnsi="Times New Roman" w:cs="Times New Roman"/>
          <w:szCs w:val="24"/>
        </w:rPr>
        <w:t>私樓貴</w:t>
      </w:r>
      <w:proofErr w:type="gramEnd"/>
      <w:r w:rsidR="001437E2" w:rsidRPr="00BA1C0F">
        <w:rPr>
          <w:rFonts w:ascii="Times New Roman" w:hAnsi="Times New Roman" w:cs="Times New Roman"/>
          <w:szCs w:val="24"/>
        </w:rPr>
        <w:t>租金問題</w:t>
      </w:r>
      <w:r w:rsidRPr="00BA1C0F">
        <w:rPr>
          <w:rFonts w:ascii="Times New Roman" w:hAnsi="Times New Roman" w:cs="Times New Roman"/>
          <w:szCs w:val="24"/>
          <w:lang w:eastAsia="zh-HK"/>
        </w:rPr>
        <w:t>。</w:t>
      </w:r>
      <w:r w:rsidRPr="00BA1C0F">
        <w:rPr>
          <w:rFonts w:ascii="Times New Roman" w:hAnsi="Times New Roman" w:cs="Times New Roman"/>
          <w:szCs w:val="24"/>
          <w:lang w:eastAsia="zh-HK"/>
        </w:rPr>
        <w:t>2</w:t>
      </w:r>
      <w:r w:rsidRPr="00BA1C0F">
        <w:rPr>
          <w:rFonts w:ascii="Times New Roman" w:hAnsi="Times New Roman" w:cs="Times New Roman"/>
          <w:szCs w:val="24"/>
          <w:lang w:eastAsia="zh-HK"/>
        </w:rPr>
        <w:t>個計劃</w:t>
      </w:r>
      <w:proofErr w:type="gramStart"/>
      <w:r w:rsidRPr="00BA1C0F">
        <w:rPr>
          <w:rFonts w:ascii="Times New Roman" w:hAnsi="Times New Roman" w:cs="Times New Roman"/>
          <w:szCs w:val="24"/>
          <w:lang w:eastAsia="zh-HK"/>
        </w:rPr>
        <w:t>目的均為扶助</w:t>
      </w:r>
      <w:proofErr w:type="gramEnd"/>
      <w:r w:rsidRPr="00BA1C0F">
        <w:rPr>
          <w:rFonts w:ascii="Times New Roman" w:hAnsi="Times New Roman" w:cs="Times New Roman"/>
          <w:szCs w:val="24"/>
          <w:lang w:eastAsia="zh-HK"/>
        </w:rPr>
        <w:t>低收入在職人士，標準同時於</w:t>
      </w:r>
      <w:r w:rsidRPr="00BA1C0F">
        <w:rPr>
          <w:rFonts w:ascii="Times New Roman" w:hAnsi="Times New Roman" w:cs="Times New Roman"/>
          <w:szCs w:val="24"/>
          <w:lang w:eastAsia="zh-HK"/>
        </w:rPr>
        <w:t>2015</w:t>
      </w:r>
      <w:r w:rsidRPr="00BA1C0F">
        <w:rPr>
          <w:rFonts w:ascii="Times New Roman" w:hAnsi="Times New Roman" w:cs="Times New Roman"/>
          <w:szCs w:val="24"/>
          <w:lang w:eastAsia="zh-HK"/>
        </w:rPr>
        <w:t>年推出修訂，但入息</w:t>
      </w:r>
      <w:proofErr w:type="gramStart"/>
      <w:r w:rsidRPr="00BA1C0F">
        <w:rPr>
          <w:rFonts w:ascii="Times New Roman" w:hAnsi="Times New Roman" w:cs="Times New Roman"/>
          <w:szCs w:val="24"/>
          <w:lang w:eastAsia="zh-HK"/>
        </w:rPr>
        <w:t>限額厘定卻</w:t>
      </w:r>
      <w:proofErr w:type="gramEnd"/>
      <w:r w:rsidRPr="00BA1C0F">
        <w:rPr>
          <w:rFonts w:ascii="Times New Roman" w:hAnsi="Times New Roman" w:cs="Times New Roman"/>
          <w:szCs w:val="24"/>
          <w:lang w:eastAsia="zh-HK"/>
        </w:rPr>
        <w:t>出現雙重標準，恆常現金津貼的</w:t>
      </w:r>
      <w:proofErr w:type="gramStart"/>
      <w:r w:rsidRPr="00BA1C0F">
        <w:rPr>
          <w:rFonts w:ascii="Times New Roman" w:hAnsi="Times New Roman" w:cs="Times New Roman"/>
          <w:szCs w:val="24"/>
          <w:lang w:eastAsia="zh-HK"/>
        </w:rPr>
        <w:t>交津明顯</w:t>
      </w:r>
      <w:proofErr w:type="gramEnd"/>
      <w:r w:rsidRPr="00BA1C0F">
        <w:rPr>
          <w:rFonts w:ascii="Times New Roman" w:hAnsi="Times New Roman" w:cs="Times New Roman"/>
          <w:szCs w:val="24"/>
          <w:lang w:eastAsia="zh-HK"/>
        </w:rPr>
        <w:t>限額</w:t>
      </w:r>
      <w:proofErr w:type="gramStart"/>
      <w:r w:rsidRPr="00BA1C0F">
        <w:rPr>
          <w:rFonts w:ascii="Times New Roman" w:hAnsi="Times New Roman" w:cs="Times New Roman"/>
          <w:szCs w:val="24"/>
          <w:lang w:eastAsia="zh-HK"/>
        </w:rPr>
        <w:t>過份嚴格</w:t>
      </w:r>
      <w:r w:rsidRPr="00BA1C0F">
        <w:rPr>
          <w:rFonts w:ascii="Times New Roman" w:hAnsi="Times New Roman" w:cs="Times New Roman"/>
          <w:szCs w:val="24"/>
          <w:lang w:eastAsia="zh-HK"/>
        </w:rPr>
        <w:t>(</w:t>
      </w:r>
      <w:proofErr w:type="gramEnd"/>
      <w:r w:rsidRPr="00BA1C0F">
        <w:rPr>
          <w:rFonts w:ascii="Times New Roman" w:hAnsi="Times New Roman" w:cs="Times New Roman"/>
          <w:szCs w:val="24"/>
          <w:lang w:eastAsia="zh-HK"/>
        </w:rPr>
        <w:t>低於最低工資</w:t>
      </w:r>
      <w:r w:rsidRPr="00BA1C0F">
        <w:rPr>
          <w:rFonts w:ascii="Times New Roman" w:hAnsi="Times New Roman" w:cs="Times New Roman"/>
          <w:szCs w:val="24"/>
          <w:lang w:eastAsia="zh-HK"/>
        </w:rPr>
        <w:t>)</w:t>
      </w:r>
      <w:r w:rsidRPr="00BA1C0F">
        <w:rPr>
          <w:rFonts w:ascii="Times New Roman" w:hAnsi="Times New Roman" w:cs="Times New Roman"/>
          <w:szCs w:val="24"/>
          <w:lang w:eastAsia="zh-HK"/>
        </w:rPr>
        <w:t>，</w:t>
      </w:r>
      <w:proofErr w:type="gramStart"/>
      <w:r w:rsidRPr="00BA1C0F">
        <w:rPr>
          <w:rFonts w:ascii="Times New Roman" w:hAnsi="Times New Roman" w:cs="Times New Roman"/>
          <w:szCs w:val="24"/>
          <w:lang w:eastAsia="zh-HK"/>
        </w:rPr>
        <w:t>令低收入</w:t>
      </w:r>
      <w:proofErr w:type="gramEnd"/>
      <w:r w:rsidRPr="00BA1C0F">
        <w:rPr>
          <w:rFonts w:ascii="Times New Roman" w:hAnsi="Times New Roman" w:cs="Times New Roman"/>
          <w:szCs w:val="24"/>
          <w:lang w:eastAsia="zh-HK"/>
        </w:rPr>
        <w:t>勞工被拒諸門外。</w:t>
      </w:r>
    </w:p>
    <w:tbl>
      <w:tblPr>
        <w:tblStyle w:val="ae"/>
        <w:tblpPr w:leftFromText="180" w:rightFromText="180" w:vertAnchor="text" w:horzAnchor="margin" w:tblpXSpec="center" w:tblpY="430"/>
        <w:tblW w:w="11023" w:type="dxa"/>
        <w:tblLook w:val="00A0" w:firstRow="1" w:lastRow="0" w:firstColumn="1" w:lastColumn="0" w:noHBand="0" w:noVBand="0"/>
      </w:tblPr>
      <w:tblGrid>
        <w:gridCol w:w="1560"/>
        <w:gridCol w:w="1843"/>
        <w:gridCol w:w="2977"/>
        <w:gridCol w:w="2126"/>
        <w:gridCol w:w="2517"/>
      </w:tblGrid>
      <w:tr w:rsidR="009104C7" w:rsidRPr="00605F9D" w:rsidTr="00711DD5">
        <w:trPr>
          <w:trHeight w:val="983"/>
        </w:trPr>
        <w:tc>
          <w:tcPr>
            <w:tcW w:w="1560" w:type="dxa"/>
          </w:tcPr>
          <w:p w:rsidR="009104C7" w:rsidRPr="0049467F" w:rsidRDefault="009104C7" w:rsidP="009104C7">
            <w:pPr>
              <w:spacing w:line="276" w:lineRule="auto"/>
              <w:jc w:val="both"/>
              <w:rPr>
                <w:rFonts w:asciiTheme="minorEastAsia" w:hAnsiTheme="minorEastAsia" w:cs="Times New Roman"/>
                <w:b/>
                <w:szCs w:val="24"/>
              </w:rPr>
            </w:pPr>
            <w:r w:rsidRPr="0049467F">
              <w:rPr>
                <w:rFonts w:asciiTheme="minorEastAsia" w:hAnsiTheme="minorEastAsia" w:cs="Times New Roman" w:hint="eastAsia"/>
                <w:b/>
                <w:szCs w:val="24"/>
              </w:rPr>
              <w:t>申請人數</w:t>
            </w:r>
          </w:p>
        </w:tc>
        <w:tc>
          <w:tcPr>
            <w:tcW w:w="1843" w:type="dxa"/>
          </w:tcPr>
          <w:p w:rsidR="009104C7" w:rsidRPr="0049467F" w:rsidRDefault="009104C7" w:rsidP="009104C7">
            <w:pPr>
              <w:spacing w:line="276" w:lineRule="auto"/>
              <w:jc w:val="both"/>
              <w:rPr>
                <w:rFonts w:asciiTheme="minorEastAsia" w:hAnsiTheme="minorEastAsia" w:cs="Times New Roman"/>
                <w:b/>
                <w:szCs w:val="24"/>
              </w:rPr>
            </w:pPr>
            <w:proofErr w:type="gramStart"/>
            <w:r w:rsidRPr="0049467F">
              <w:rPr>
                <w:rFonts w:asciiTheme="minorEastAsia" w:hAnsiTheme="minorEastAsia" w:cs="Times New Roman"/>
                <w:b/>
                <w:szCs w:val="24"/>
              </w:rPr>
              <w:t>交津入</w:t>
            </w:r>
            <w:proofErr w:type="gramEnd"/>
            <w:r w:rsidRPr="0049467F">
              <w:rPr>
                <w:rFonts w:asciiTheme="minorEastAsia" w:hAnsiTheme="minorEastAsia" w:cs="Times New Roman"/>
                <w:b/>
                <w:szCs w:val="24"/>
              </w:rPr>
              <w:t>息上限</w:t>
            </w:r>
          </w:p>
        </w:tc>
        <w:tc>
          <w:tcPr>
            <w:tcW w:w="2977" w:type="dxa"/>
          </w:tcPr>
          <w:p w:rsidR="009104C7" w:rsidRPr="0049467F" w:rsidRDefault="009104C7" w:rsidP="009104C7">
            <w:pPr>
              <w:spacing w:line="276" w:lineRule="auto"/>
              <w:jc w:val="both"/>
              <w:rPr>
                <w:rFonts w:asciiTheme="minorEastAsia" w:hAnsiTheme="minorEastAsia" w:cs="Times New Roman"/>
                <w:b/>
                <w:szCs w:val="24"/>
              </w:rPr>
            </w:pPr>
            <w:r w:rsidRPr="0049467F">
              <w:rPr>
                <w:rFonts w:asciiTheme="minorEastAsia" w:hAnsiTheme="minorEastAsia" w:cs="Times New Roman"/>
                <w:b/>
                <w:szCs w:val="24"/>
              </w:rPr>
              <w:t>關愛基金(</w:t>
            </w:r>
            <w:r w:rsidRPr="0049467F">
              <w:rPr>
                <w:rFonts w:asciiTheme="minorEastAsia" w:hAnsiTheme="minorEastAsia" w:cs="Times New Roman" w:hint="eastAsia"/>
                <w:b/>
                <w:szCs w:val="24"/>
              </w:rPr>
              <w:t>N</w:t>
            </w:r>
            <w:r w:rsidRPr="0049467F">
              <w:rPr>
                <w:rFonts w:asciiTheme="minorEastAsia" w:hAnsiTheme="minorEastAsia" w:cs="Times New Roman" w:hint="eastAsia"/>
                <w:b/>
                <w:szCs w:val="24"/>
                <w:lang w:eastAsia="zh-HK"/>
              </w:rPr>
              <w:t>無人士</w:t>
            </w:r>
            <w:r w:rsidRPr="0049467F">
              <w:rPr>
                <w:rFonts w:asciiTheme="minorEastAsia" w:hAnsiTheme="minorEastAsia" w:cs="Times New Roman" w:hint="eastAsia"/>
                <w:b/>
                <w:szCs w:val="24"/>
              </w:rPr>
              <w:t>生活津貼</w:t>
            </w:r>
            <w:r w:rsidRPr="0049467F">
              <w:rPr>
                <w:rFonts w:asciiTheme="minorEastAsia" w:hAnsiTheme="minorEastAsia" w:cs="Times New Roman"/>
                <w:b/>
                <w:szCs w:val="24"/>
              </w:rPr>
              <w:t>)入息上限</w:t>
            </w:r>
          </w:p>
        </w:tc>
        <w:tc>
          <w:tcPr>
            <w:tcW w:w="2126" w:type="dxa"/>
          </w:tcPr>
          <w:p w:rsidR="009104C7" w:rsidRPr="0049467F" w:rsidRDefault="009104C7" w:rsidP="009104C7">
            <w:pPr>
              <w:spacing w:line="276" w:lineRule="auto"/>
              <w:jc w:val="both"/>
              <w:rPr>
                <w:rFonts w:asciiTheme="minorEastAsia" w:hAnsiTheme="minorEastAsia" w:cs="Times New Roman"/>
                <w:b/>
                <w:szCs w:val="24"/>
              </w:rPr>
            </w:pPr>
            <w:r w:rsidRPr="0049467F">
              <w:rPr>
                <w:rFonts w:asciiTheme="minorEastAsia" w:hAnsiTheme="minorEastAsia" w:cs="Times New Roman"/>
                <w:b/>
                <w:szCs w:val="24"/>
              </w:rPr>
              <w:t>交通津貼資產上限*</w:t>
            </w:r>
          </w:p>
        </w:tc>
        <w:tc>
          <w:tcPr>
            <w:tcW w:w="2517" w:type="dxa"/>
          </w:tcPr>
          <w:p w:rsidR="009104C7" w:rsidRPr="0049467F" w:rsidRDefault="009104C7" w:rsidP="009104C7">
            <w:pPr>
              <w:spacing w:line="276" w:lineRule="auto"/>
              <w:jc w:val="both"/>
              <w:rPr>
                <w:rFonts w:asciiTheme="minorEastAsia" w:hAnsiTheme="minorEastAsia" w:cs="Times New Roman"/>
                <w:b/>
                <w:sz w:val="28"/>
                <w:szCs w:val="28"/>
              </w:rPr>
            </w:pPr>
            <w:r w:rsidRPr="0049467F">
              <w:rPr>
                <w:rFonts w:asciiTheme="minorEastAsia" w:hAnsiTheme="minorEastAsia" w:cs="Times New Roman"/>
                <w:b/>
                <w:sz w:val="28"/>
                <w:szCs w:val="28"/>
              </w:rPr>
              <w:t>關愛基金資產上限</w:t>
            </w:r>
          </w:p>
        </w:tc>
      </w:tr>
      <w:tr w:rsidR="009104C7" w:rsidRPr="00605F9D" w:rsidTr="009104C7">
        <w:trPr>
          <w:trHeight w:val="693"/>
        </w:trPr>
        <w:tc>
          <w:tcPr>
            <w:tcW w:w="1560" w:type="dxa"/>
          </w:tcPr>
          <w:p w:rsidR="009104C7" w:rsidRPr="0049467F" w:rsidRDefault="009104C7" w:rsidP="009104C7">
            <w:pPr>
              <w:spacing w:line="276" w:lineRule="auto"/>
              <w:jc w:val="both"/>
              <w:rPr>
                <w:rFonts w:asciiTheme="minorEastAsia" w:hAnsiTheme="minorEastAsia" w:cs="Times New Roman"/>
                <w:b/>
                <w:sz w:val="28"/>
                <w:szCs w:val="28"/>
              </w:rPr>
            </w:pPr>
            <w:r w:rsidRPr="0049467F">
              <w:rPr>
                <w:rFonts w:asciiTheme="minorEastAsia" w:hAnsiTheme="minorEastAsia" w:cs="Times New Roman"/>
                <w:b/>
                <w:sz w:val="28"/>
                <w:szCs w:val="28"/>
              </w:rPr>
              <w:t>1人</w:t>
            </w:r>
          </w:p>
        </w:tc>
        <w:tc>
          <w:tcPr>
            <w:tcW w:w="1843" w:type="dxa"/>
          </w:tcPr>
          <w:p w:rsidR="009104C7" w:rsidRPr="0049467F" w:rsidRDefault="009104C7" w:rsidP="009104C7">
            <w:pPr>
              <w:spacing w:line="276" w:lineRule="auto"/>
              <w:jc w:val="center"/>
              <w:rPr>
                <w:rFonts w:asciiTheme="minorEastAsia" w:hAnsiTheme="minorEastAsia" w:cs="Times New Roman"/>
                <w:b/>
                <w:sz w:val="28"/>
                <w:szCs w:val="28"/>
              </w:rPr>
            </w:pPr>
            <w:r w:rsidRPr="0049467F">
              <w:rPr>
                <w:rFonts w:asciiTheme="minorEastAsia" w:hAnsiTheme="minorEastAsia" w:cs="Times New Roman" w:hint="eastAsia"/>
                <w:b/>
                <w:sz w:val="28"/>
                <w:szCs w:val="28"/>
              </w:rPr>
              <w:t>8</w:t>
            </w:r>
            <w:r w:rsidR="00B517D4">
              <w:rPr>
                <w:rFonts w:asciiTheme="minorEastAsia" w:hAnsiTheme="minorEastAsia" w:cs="Times New Roman"/>
                <w:b/>
                <w:sz w:val="28"/>
                <w:szCs w:val="28"/>
              </w:rPr>
              <w:t>，</w:t>
            </w:r>
            <w:r w:rsidRPr="0049467F">
              <w:rPr>
                <w:rFonts w:asciiTheme="minorEastAsia" w:hAnsiTheme="minorEastAsia" w:cs="Times New Roman" w:hint="eastAsia"/>
                <w:b/>
                <w:sz w:val="28"/>
                <w:szCs w:val="28"/>
              </w:rPr>
              <w:t>0</w:t>
            </w:r>
            <w:r w:rsidRPr="0049467F">
              <w:rPr>
                <w:rFonts w:asciiTheme="minorEastAsia" w:hAnsiTheme="minorEastAsia" w:cs="Times New Roman"/>
                <w:b/>
                <w:sz w:val="28"/>
                <w:szCs w:val="28"/>
              </w:rPr>
              <w:t>00元</w:t>
            </w:r>
          </w:p>
        </w:tc>
        <w:tc>
          <w:tcPr>
            <w:tcW w:w="2977" w:type="dxa"/>
          </w:tcPr>
          <w:p w:rsidR="009104C7" w:rsidRPr="0049467F" w:rsidRDefault="009104C7" w:rsidP="009104C7">
            <w:pPr>
              <w:spacing w:line="276" w:lineRule="auto"/>
              <w:jc w:val="center"/>
              <w:rPr>
                <w:rFonts w:asciiTheme="minorEastAsia" w:hAnsiTheme="minorEastAsia"/>
                <w:b/>
                <w:sz w:val="28"/>
                <w:szCs w:val="28"/>
              </w:rPr>
            </w:pPr>
            <w:r w:rsidRPr="0049467F">
              <w:rPr>
                <w:rFonts w:asciiTheme="minorEastAsia" w:hAnsiTheme="minorEastAsia"/>
                <w:b/>
                <w:sz w:val="28"/>
                <w:szCs w:val="28"/>
              </w:rPr>
              <w:t>10</w:t>
            </w:r>
            <w:r w:rsidR="00B517D4">
              <w:rPr>
                <w:rFonts w:asciiTheme="minorEastAsia" w:hAnsiTheme="minorEastAsia"/>
                <w:b/>
                <w:sz w:val="28"/>
                <w:szCs w:val="28"/>
              </w:rPr>
              <w:t>，</w:t>
            </w:r>
            <w:r w:rsidRPr="0049467F">
              <w:rPr>
                <w:rFonts w:asciiTheme="minorEastAsia" w:hAnsiTheme="minorEastAsia"/>
                <w:b/>
                <w:sz w:val="28"/>
                <w:szCs w:val="28"/>
              </w:rPr>
              <w:t>100</w:t>
            </w:r>
          </w:p>
        </w:tc>
        <w:tc>
          <w:tcPr>
            <w:tcW w:w="2126" w:type="dxa"/>
          </w:tcPr>
          <w:p w:rsidR="009104C7" w:rsidRPr="0049467F" w:rsidRDefault="009104C7" w:rsidP="009104C7">
            <w:pPr>
              <w:spacing w:line="276" w:lineRule="auto"/>
              <w:jc w:val="center"/>
              <w:rPr>
                <w:rFonts w:asciiTheme="minorEastAsia" w:hAnsiTheme="minorEastAsia" w:cs="Times New Roman"/>
                <w:b/>
                <w:sz w:val="28"/>
                <w:szCs w:val="28"/>
              </w:rPr>
            </w:pPr>
            <w:r w:rsidRPr="0049467F">
              <w:rPr>
                <w:rFonts w:asciiTheme="minorEastAsia" w:hAnsiTheme="minorEastAsia" w:cs="Times New Roman" w:hint="eastAsia"/>
                <w:b/>
                <w:sz w:val="28"/>
                <w:szCs w:val="28"/>
              </w:rPr>
              <w:t>8</w:t>
            </w:r>
            <w:r w:rsidRPr="0049467F">
              <w:rPr>
                <w:rFonts w:asciiTheme="minorEastAsia" w:hAnsiTheme="minorEastAsia" w:cs="Times New Roman"/>
                <w:b/>
                <w:sz w:val="28"/>
                <w:szCs w:val="28"/>
              </w:rPr>
              <w:t>4</w:t>
            </w:r>
            <w:r w:rsidR="00B517D4">
              <w:rPr>
                <w:rFonts w:asciiTheme="minorEastAsia" w:hAnsiTheme="minorEastAsia" w:cs="Times New Roman"/>
                <w:b/>
                <w:sz w:val="28"/>
                <w:szCs w:val="28"/>
              </w:rPr>
              <w:t>，</w:t>
            </w:r>
            <w:r w:rsidRPr="0049467F">
              <w:rPr>
                <w:rFonts w:asciiTheme="minorEastAsia" w:hAnsiTheme="minorEastAsia" w:cs="Times New Roman"/>
                <w:b/>
                <w:sz w:val="28"/>
                <w:szCs w:val="28"/>
              </w:rPr>
              <w:t>000元</w:t>
            </w:r>
          </w:p>
        </w:tc>
        <w:tc>
          <w:tcPr>
            <w:tcW w:w="2517" w:type="dxa"/>
            <w:vMerge w:val="restart"/>
          </w:tcPr>
          <w:p w:rsidR="009104C7" w:rsidRPr="0049467F" w:rsidRDefault="009104C7" w:rsidP="009104C7">
            <w:pPr>
              <w:spacing w:line="276" w:lineRule="auto"/>
              <w:rPr>
                <w:rFonts w:asciiTheme="minorEastAsia" w:hAnsiTheme="minorEastAsia" w:cs="Times New Roman"/>
                <w:b/>
                <w:sz w:val="28"/>
                <w:szCs w:val="28"/>
              </w:rPr>
            </w:pPr>
          </w:p>
          <w:p w:rsidR="009104C7" w:rsidRPr="0049467F" w:rsidRDefault="009104C7" w:rsidP="009104C7">
            <w:pPr>
              <w:spacing w:line="276" w:lineRule="auto"/>
              <w:jc w:val="center"/>
              <w:rPr>
                <w:rFonts w:asciiTheme="minorEastAsia" w:hAnsiTheme="minorEastAsia" w:cs="Times New Roman"/>
                <w:b/>
                <w:sz w:val="28"/>
                <w:szCs w:val="28"/>
              </w:rPr>
            </w:pPr>
          </w:p>
          <w:p w:rsidR="009104C7" w:rsidRPr="0049467F" w:rsidRDefault="009104C7" w:rsidP="009104C7">
            <w:pPr>
              <w:spacing w:line="276" w:lineRule="auto"/>
              <w:jc w:val="center"/>
              <w:rPr>
                <w:rFonts w:asciiTheme="minorEastAsia" w:hAnsiTheme="minorEastAsia" w:cs="Times New Roman"/>
                <w:b/>
                <w:sz w:val="28"/>
                <w:szCs w:val="28"/>
              </w:rPr>
            </w:pPr>
            <w:r w:rsidRPr="0049467F">
              <w:rPr>
                <w:rFonts w:asciiTheme="minorEastAsia" w:hAnsiTheme="minorEastAsia" w:cs="Times New Roman"/>
                <w:b/>
                <w:sz w:val="28"/>
                <w:szCs w:val="28"/>
              </w:rPr>
              <w:t>沒有</w:t>
            </w:r>
          </w:p>
        </w:tc>
      </w:tr>
      <w:tr w:rsidR="009104C7" w:rsidRPr="00605F9D" w:rsidTr="009104C7">
        <w:trPr>
          <w:trHeight w:val="693"/>
        </w:trPr>
        <w:tc>
          <w:tcPr>
            <w:tcW w:w="1560" w:type="dxa"/>
          </w:tcPr>
          <w:p w:rsidR="009104C7" w:rsidRPr="0049467F" w:rsidRDefault="009104C7" w:rsidP="009104C7">
            <w:pPr>
              <w:spacing w:line="276" w:lineRule="auto"/>
              <w:jc w:val="both"/>
              <w:rPr>
                <w:rFonts w:asciiTheme="minorEastAsia" w:hAnsiTheme="minorEastAsia" w:cs="Times New Roman"/>
                <w:b/>
                <w:sz w:val="28"/>
                <w:szCs w:val="28"/>
              </w:rPr>
            </w:pPr>
            <w:r w:rsidRPr="0049467F">
              <w:rPr>
                <w:rFonts w:asciiTheme="minorEastAsia" w:hAnsiTheme="minorEastAsia" w:cs="Times New Roman"/>
                <w:b/>
                <w:sz w:val="28"/>
                <w:szCs w:val="28"/>
              </w:rPr>
              <w:t>2人</w:t>
            </w:r>
          </w:p>
        </w:tc>
        <w:tc>
          <w:tcPr>
            <w:tcW w:w="1843" w:type="dxa"/>
          </w:tcPr>
          <w:p w:rsidR="009104C7" w:rsidRPr="0049467F" w:rsidRDefault="009104C7" w:rsidP="009104C7">
            <w:pPr>
              <w:spacing w:line="276" w:lineRule="auto"/>
              <w:jc w:val="center"/>
              <w:rPr>
                <w:rFonts w:asciiTheme="minorEastAsia" w:hAnsiTheme="minorEastAsia" w:cs="Times New Roman"/>
                <w:b/>
                <w:sz w:val="28"/>
                <w:szCs w:val="28"/>
              </w:rPr>
            </w:pPr>
            <w:r w:rsidRPr="0049467F">
              <w:rPr>
                <w:rFonts w:asciiTheme="minorEastAsia" w:hAnsiTheme="minorEastAsia" w:cs="Times New Roman"/>
                <w:b/>
                <w:sz w:val="28"/>
                <w:szCs w:val="28"/>
              </w:rPr>
              <w:t>1</w:t>
            </w:r>
            <w:r w:rsidRPr="0049467F">
              <w:rPr>
                <w:rFonts w:asciiTheme="minorEastAsia" w:hAnsiTheme="minorEastAsia" w:cs="Times New Roman" w:hint="eastAsia"/>
                <w:b/>
                <w:sz w:val="28"/>
                <w:szCs w:val="28"/>
              </w:rPr>
              <w:t>5</w:t>
            </w:r>
            <w:r w:rsidR="00B517D4">
              <w:rPr>
                <w:rFonts w:asciiTheme="minorEastAsia" w:hAnsiTheme="minorEastAsia" w:cs="Times New Roman"/>
                <w:b/>
                <w:sz w:val="28"/>
                <w:szCs w:val="28"/>
              </w:rPr>
              <w:t>，</w:t>
            </w:r>
            <w:r w:rsidRPr="0049467F">
              <w:rPr>
                <w:rFonts w:asciiTheme="minorEastAsia" w:hAnsiTheme="minorEastAsia" w:cs="Times New Roman" w:hint="eastAsia"/>
                <w:b/>
                <w:sz w:val="28"/>
                <w:szCs w:val="28"/>
              </w:rPr>
              <w:t>3</w:t>
            </w:r>
            <w:r w:rsidRPr="0049467F">
              <w:rPr>
                <w:rFonts w:asciiTheme="minorEastAsia" w:hAnsiTheme="minorEastAsia" w:cs="Times New Roman"/>
                <w:b/>
                <w:sz w:val="28"/>
                <w:szCs w:val="28"/>
              </w:rPr>
              <w:t>00元</w:t>
            </w:r>
          </w:p>
        </w:tc>
        <w:tc>
          <w:tcPr>
            <w:tcW w:w="2977" w:type="dxa"/>
          </w:tcPr>
          <w:p w:rsidR="009104C7" w:rsidRPr="0049467F" w:rsidRDefault="009104C7" w:rsidP="009104C7">
            <w:pPr>
              <w:spacing w:line="276" w:lineRule="auto"/>
              <w:jc w:val="center"/>
              <w:rPr>
                <w:rFonts w:asciiTheme="minorEastAsia" w:hAnsiTheme="minorEastAsia"/>
                <w:b/>
                <w:sz w:val="28"/>
                <w:szCs w:val="28"/>
              </w:rPr>
            </w:pPr>
            <w:r w:rsidRPr="0049467F">
              <w:rPr>
                <w:rFonts w:asciiTheme="minorEastAsia" w:hAnsiTheme="minorEastAsia"/>
                <w:b/>
                <w:sz w:val="28"/>
                <w:szCs w:val="28"/>
              </w:rPr>
              <w:t>16</w:t>
            </w:r>
            <w:r w:rsidR="00B517D4">
              <w:rPr>
                <w:rFonts w:asciiTheme="minorEastAsia" w:hAnsiTheme="minorEastAsia"/>
                <w:b/>
                <w:sz w:val="28"/>
                <w:szCs w:val="28"/>
              </w:rPr>
              <w:t>，</w:t>
            </w:r>
            <w:r w:rsidRPr="0049467F">
              <w:rPr>
                <w:rFonts w:asciiTheme="minorEastAsia" w:hAnsiTheme="minorEastAsia"/>
                <w:b/>
                <w:sz w:val="28"/>
                <w:szCs w:val="28"/>
              </w:rPr>
              <w:t>140</w:t>
            </w:r>
          </w:p>
        </w:tc>
        <w:tc>
          <w:tcPr>
            <w:tcW w:w="2126" w:type="dxa"/>
          </w:tcPr>
          <w:p w:rsidR="009104C7" w:rsidRPr="0049467F" w:rsidRDefault="009104C7" w:rsidP="009104C7">
            <w:pPr>
              <w:spacing w:line="276" w:lineRule="auto"/>
              <w:jc w:val="center"/>
              <w:rPr>
                <w:rFonts w:asciiTheme="minorEastAsia" w:hAnsiTheme="minorEastAsia" w:cs="Times New Roman"/>
                <w:b/>
                <w:sz w:val="28"/>
                <w:szCs w:val="28"/>
              </w:rPr>
            </w:pPr>
            <w:r w:rsidRPr="0049467F">
              <w:rPr>
                <w:rFonts w:asciiTheme="minorEastAsia" w:hAnsiTheme="minorEastAsia" w:cs="Times New Roman" w:hint="eastAsia"/>
                <w:b/>
                <w:sz w:val="28"/>
                <w:szCs w:val="28"/>
              </w:rPr>
              <w:t>114</w:t>
            </w:r>
            <w:r w:rsidR="00B517D4">
              <w:rPr>
                <w:rFonts w:asciiTheme="minorEastAsia" w:hAnsiTheme="minorEastAsia" w:cs="Times New Roman"/>
                <w:b/>
                <w:sz w:val="28"/>
                <w:szCs w:val="28"/>
              </w:rPr>
              <w:t>，</w:t>
            </w:r>
            <w:r w:rsidRPr="0049467F">
              <w:rPr>
                <w:rFonts w:asciiTheme="minorEastAsia" w:hAnsiTheme="minorEastAsia" w:cs="Times New Roman"/>
                <w:b/>
                <w:sz w:val="28"/>
                <w:szCs w:val="28"/>
              </w:rPr>
              <w:t>000元</w:t>
            </w:r>
          </w:p>
        </w:tc>
        <w:tc>
          <w:tcPr>
            <w:tcW w:w="2517" w:type="dxa"/>
            <w:vMerge/>
          </w:tcPr>
          <w:p w:rsidR="009104C7" w:rsidRPr="00605F9D" w:rsidRDefault="009104C7" w:rsidP="009104C7">
            <w:pPr>
              <w:spacing w:line="276" w:lineRule="auto"/>
              <w:jc w:val="both"/>
              <w:rPr>
                <w:rFonts w:asciiTheme="minorEastAsia" w:hAnsiTheme="minorEastAsia" w:cs="Times New Roman"/>
                <w:szCs w:val="24"/>
              </w:rPr>
            </w:pPr>
          </w:p>
        </w:tc>
      </w:tr>
      <w:tr w:rsidR="009104C7" w:rsidRPr="00605F9D" w:rsidTr="009104C7">
        <w:trPr>
          <w:trHeight w:val="693"/>
        </w:trPr>
        <w:tc>
          <w:tcPr>
            <w:tcW w:w="1560" w:type="dxa"/>
          </w:tcPr>
          <w:p w:rsidR="009104C7" w:rsidRPr="0049467F" w:rsidRDefault="009104C7" w:rsidP="009104C7">
            <w:pPr>
              <w:spacing w:line="276" w:lineRule="auto"/>
              <w:jc w:val="both"/>
              <w:rPr>
                <w:rFonts w:asciiTheme="minorEastAsia" w:hAnsiTheme="minorEastAsia" w:cs="Times New Roman"/>
                <w:b/>
                <w:sz w:val="28"/>
                <w:szCs w:val="28"/>
              </w:rPr>
            </w:pPr>
            <w:r w:rsidRPr="0049467F">
              <w:rPr>
                <w:rFonts w:asciiTheme="minorEastAsia" w:hAnsiTheme="minorEastAsia" w:cs="Times New Roman"/>
                <w:b/>
                <w:sz w:val="28"/>
                <w:szCs w:val="28"/>
              </w:rPr>
              <w:t>3人</w:t>
            </w:r>
          </w:p>
        </w:tc>
        <w:tc>
          <w:tcPr>
            <w:tcW w:w="1843" w:type="dxa"/>
          </w:tcPr>
          <w:p w:rsidR="009104C7" w:rsidRPr="0049467F" w:rsidRDefault="009104C7" w:rsidP="009104C7">
            <w:pPr>
              <w:spacing w:line="276" w:lineRule="auto"/>
              <w:jc w:val="center"/>
              <w:rPr>
                <w:rFonts w:asciiTheme="minorEastAsia" w:hAnsiTheme="minorEastAsia" w:cs="Times New Roman"/>
                <w:b/>
                <w:sz w:val="28"/>
                <w:szCs w:val="28"/>
              </w:rPr>
            </w:pPr>
            <w:r w:rsidRPr="0049467F">
              <w:rPr>
                <w:rFonts w:asciiTheme="minorEastAsia" w:hAnsiTheme="minorEastAsia" w:cs="Times New Roman"/>
                <w:b/>
                <w:sz w:val="28"/>
                <w:szCs w:val="28"/>
              </w:rPr>
              <w:t>1</w:t>
            </w:r>
            <w:r w:rsidRPr="0049467F">
              <w:rPr>
                <w:rFonts w:asciiTheme="minorEastAsia" w:hAnsiTheme="minorEastAsia" w:cs="Times New Roman" w:hint="eastAsia"/>
                <w:b/>
                <w:sz w:val="28"/>
                <w:szCs w:val="28"/>
              </w:rPr>
              <w:t>7</w:t>
            </w:r>
            <w:r w:rsidR="00B517D4">
              <w:rPr>
                <w:rFonts w:asciiTheme="minorEastAsia" w:hAnsiTheme="minorEastAsia" w:cs="Times New Roman"/>
                <w:b/>
                <w:sz w:val="28"/>
                <w:szCs w:val="28"/>
              </w:rPr>
              <w:t>，</w:t>
            </w:r>
            <w:r w:rsidRPr="0049467F">
              <w:rPr>
                <w:rFonts w:asciiTheme="minorEastAsia" w:hAnsiTheme="minorEastAsia" w:cs="Times New Roman" w:hint="eastAsia"/>
                <w:b/>
                <w:sz w:val="28"/>
                <w:szCs w:val="28"/>
              </w:rPr>
              <w:t>6</w:t>
            </w:r>
            <w:r w:rsidRPr="0049467F">
              <w:rPr>
                <w:rFonts w:asciiTheme="minorEastAsia" w:hAnsiTheme="minorEastAsia" w:cs="Times New Roman"/>
                <w:b/>
                <w:sz w:val="28"/>
                <w:szCs w:val="28"/>
              </w:rPr>
              <w:t>00元</w:t>
            </w:r>
          </w:p>
        </w:tc>
        <w:tc>
          <w:tcPr>
            <w:tcW w:w="2977" w:type="dxa"/>
          </w:tcPr>
          <w:p w:rsidR="009104C7" w:rsidRPr="0049467F" w:rsidRDefault="009104C7" w:rsidP="009104C7">
            <w:pPr>
              <w:spacing w:line="276" w:lineRule="auto"/>
              <w:jc w:val="center"/>
              <w:rPr>
                <w:rFonts w:asciiTheme="minorEastAsia" w:hAnsiTheme="minorEastAsia"/>
                <w:b/>
                <w:sz w:val="28"/>
                <w:szCs w:val="28"/>
              </w:rPr>
            </w:pPr>
            <w:r w:rsidRPr="0049467F">
              <w:rPr>
                <w:rFonts w:asciiTheme="minorEastAsia" w:hAnsiTheme="minorEastAsia"/>
                <w:b/>
                <w:sz w:val="28"/>
                <w:szCs w:val="28"/>
              </w:rPr>
              <w:t>21</w:t>
            </w:r>
            <w:r w:rsidR="00B517D4">
              <w:rPr>
                <w:rFonts w:asciiTheme="minorEastAsia" w:hAnsiTheme="minorEastAsia"/>
                <w:b/>
                <w:sz w:val="28"/>
                <w:szCs w:val="28"/>
              </w:rPr>
              <w:t>，</w:t>
            </w:r>
            <w:r w:rsidRPr="0049467F">
              <w:rPr>
                <w:rFonts w:asciiTheme="minorEastAsia" w:hAnsiTheme="minorEastAsia"/>
                <w:b/>
                <w:sz w:val="28"/>
                <w:szCs w:val="28"/>
              </w:rPr>
              <w:t>075</w:t>
            </w:r>
          </w:p>
        </w:tc>
        <w:tc>
          <w:tcPr>
            <w:tcW w:w="2126" w:type="dxa"/>
          </w:tcPr>
          <w:p w:rsidR="009104C7" w:rsidRPr="0049467F" w:rsidRDefault="009104C7" w:rsidP="009104C7">
            <w:pPr>
              <w:spacing w:line="276" w:lineRule="auto"/>
              <w:jc w:val="center"/>
              <w:rPr>
                <w:rFonts w:asciiTheme="minorEastAsia" w:hAnsiTheme="minorEastAsia" w:cs="Times New Roman"/>
                <w:b/>
                <w:sz w:val="28"/>
                <w:szCs w:val="28"/>
              </w:rPr>
            </w:pPr>
            <w:r w:rsidRPr="0049467F">
              <w:rPr>
                <w:rFonts w:asciiTheme="minorEastAsia" w:hAnsiTheme="minorEastAsia" w:cs="Times New Roman" w:hint="eastAsia"/>
                <w:b/>
                <w:sz w:val="28"/>
                <w:szCs w:val="28"/>
              </w:rPr>
              <w:t>171</w:t>
            </w:r>
            <w:r w:rsidR="00B517D4">
              <w:rPr>
                <w:rFonts w:asciiTheme="minorEastAsia" w:hAnsiTheme="minorEastAsia" w:cs="Times New Roman"/>
                <w:b/>
                <w:sz w:val="28"/>
                <w:szCs w:val="28"/>
              </w:rPr>
              <w:t>，</w:t>
            </w:r>
            <w:r w:rsidRPr="0049467F">
              <w:rPr>
                <w:rFonts w:asciiTheme="minorEastAsia" w:hAnsiTheme="minorEastAsia" w:cs="Times New Roman"/>
                <w:b/>
                <w:sz w:val="28"/>
                <w:szCs w:val="28"/>
              </w:rPr>
              <w:t>000元</w:t>
            </w:r>
          </w:p>
        </w:tc>
        <w:tc>
          <w:tcPr>
            <w:tcW w:w="2517" w:type="dxa"/>
            <w:vMerge/>
          </w:tcPr>
          <w:p w:rsidR="009104C7" w:rsidRPr="00605F9D" w:rsidRDefault="009104C7" w:rsidP="009104C7">
            <w:pPr>
              <w:spacing w:line="276" w:lineRule="auto"/>
              <w:jc w:val="both"/>
              <w:rPr>
                <w:rFonts w:asciiTheme="minorEastAsia" w:hAnsiTheme="minorEastAsia" w:cs="Times New Roman"/>
                <w:szCs w:val="24"/>
              </w:rPr>
            </w:pPr>
          </w:p>
        </w:tc>
      </w:tr>
      <w:tr w:rsidR="009104C7" w:rsidRPr="00605F9D" w:rsidTr="009104C7">
        <w:trPr>
          <w:trHeight w:val="693"/>
        </w:trPr>
        <w:tc>
          <w:tcPr>
            <w:tcW w:w="1560" w:type="dxa"/>
          </w:tcPr>
          <w:p w:rsidR="009104C7" w:rsidRPr="0049467F" w:rsidRDefault="009104C7" w:rsidP="009104C7">
            <w:pPr>
              <w:spacing w:line="276" w:lineRule="auto"/>
              <w:jc w:val="both"/>
              <w:rPr>
                <w:rFonts w:asciiTheme="minorEastAsia" w:hAnsiTheme="minorEastAsia" w:cs="Times New Roman"/>
                <w:b/>
                <w:sz w:val="28"/>
                <w:szCs w:val="28"/>
              </w:rPr>
            </w:pPr>
            <w:r w:rsidRPr="0049467F">
              <w:rPr>
                <w:rFonts w:asciiTheme="minorEastAsia" w:hAnsiTheme="minorEastAsia" w:cs="Times New Roman"/>
                <w:b/>
                <w:sz w:val="28"/>
                <w:szCs w:val="28"/>
              </w:rPr>
              <w:t>4人</w:t>
            </w:r>
          </w:p>
        </w:tc>
        <w:tc>
          <w:tcPr>
            <w:tcW w:w="1843" w:type="dxa"/>
          </w:tcPr>
          <w:p w:rsidR="009104C7" w:rsidRPr="0049467F" w:rsidRDefault="009104C7" w:rsidP="009104C7">
            <w:pPr>
              <w:spacing w:line="276" w:lineRule="auto"/>
              <w:jc w:val="center"/>
              <w:rPr>
                <w:rFonts w:asciiTheme="minorEastAsia" w:hAnsiTheme="minorEastAsia" w:cs="Times New Roman"/>
                <w:b/>
                <w:sz w:val="28"/>
                <w:szCs w:val="28"/>
              </w:rPr>
            </w:pPr>
            <w:r w:rsidRPr="0049467F">
              <w:rPr>
                <w:rFonts w:asciiTheme="minorEastAsia" w:hAnsiTheme="minorEastAsia" w:cs="Times New Roman" w:hint="eastAsia"/>
                <w:b/>
                <w:sz w:val="28"/>
                <w:szCs w:val="28"/>
              </w:rPr>
              <w:t>20</w:t>
            </w:r>
            <w:r w:rsidR="00B517D4">
              <w:rPr>
                <w:rFonts w:asciiTheme="minorEastAsia" w:hAnsiTheme="minorEastAsia" w:cs="Times New Roman"/>
                <w:b/>
                <w:sz w:val="28"/>
                <w:szCs w:val="28"/>
              </w:rPr>
              <w:t>，</w:t>
            </w:r>
            <w:r w:rsidRPr="0049467F">
              <w:rPr>
                <w:rFonts w:asciiTheme="minorEastAsia" w:hAnsiTheme="minorEastAsia" w:cs="Times New Roman" w:hint="eastAsia"/>
                <w:b/>
                <w:sz w:val="28"/>
                <w:szCs w:val="28"/>
              </w:rPr>
              <w:t>1</w:t>
            </w:r>
            <w:r w:rsidRPr="0049467F">
              <w:rPr>
                <w:rFonts w:asciiTheme="minorEastAsia" w:hAnsiTheme="minorEastAsia" w:cs="Times New Roman"/>
                <w:b/>
                <w:sz w:val="28"/>
                <w:szCs w:val="28"/>
              </w:rPr>
              <w:t>00元</w:t>
            </w:r>
          </w:p>
        </w:tc>
        <w:tc>
          <w:tcPr>
            <w:tcW w:w="2977" w:type="dxa"/>
          </w:tcPr>
          <w:p w:rsidR="009104C7" w:rsidRPr="0049467F" w:rsidRDefault="009104C7" w:rsidP="009104C7">
            <w:pPr>
              <w:spacing w:line="276" w:lineRule="auto"/>
              <w:jc w:val="center"/>
              <w:rPr>
                <w:rFonts w:asciiTheme="minorEastAsia" w:hAnsiTheme="minorEastAsia"/>
                <w:b/>
                <w:sz w:val="28"/>
                <w:szCs w:val="28"/>
              </w:rPr>
            </w:pPr>
            <w:r w:rsidRPr="0049467F">
              <w:rPr>
                <w:rFonts w:asciiTheme="minorEastAsia" w:hAnsiTheme="minorEastAsia"/>
                <w:b/>
                <w:sz w:val="28"/>
                <w:szCs w:val="28"/>
              </w:rPr>
              <w:t>26</w:t>
            </w:r>
            <w:r w:rsidR="00B517D4">
              <w:rPr>
                <w:rFonts w:asciiTheme="minorEastAsia" w:hAnsiTheme="minorEastAsia"/>
                <w:b/>
                <w:sz w:val="28"/>
                <w:szCs w:val="28"/>
              </w:rPr>
              <w:t>，</w:t>
            </w:r>
            <w:r w:rsidRPr="0049467F">
              <w:rPr>
                <w:rFonts w:asciiTheme="minorEastAsia" w:hAnsiTheme="minorEastAsia"/>
                <w:b/>
                <w:sz w:val="28"/>
                <w:szCs w:val="28"/>
              </w:rPr>
              <w:t>475</w:t>
            </w:r>
          </w:p>
        </w:tc>
        <w:tc>
          <w:tcPr>
            <w:tcW w:w="2126" w:type="dxa"/>
          </w:tcPr>
          <w:p w:rsidR="009104C7" w:rsidRPr="0049467F" w:rsidRDefault="009104C7" w:rsidP="009104C7">
            <w:pPr>
              <w:spacing w:line="276" w:lineRule="auto"/>
              <w:jc w:val="center"/>
              <w:rPr>
                <w:rFonts w:asciiTheme="minorEastAsia" w:hAnsiTheme="minorEastAsia" w:cs="Times New Roman"/>
                <w:b/>
                <w:sz w:val="28"/>
                <w:szCs w:val="28"/>
              </w:rPr>
            </w:pPr>
            <w:r w:rsidRPr="0049467F">
              <w:rPr>
                <w:rFonts w:asciiTheme="minorEastAsia" w:hAnsiTheme="minorEastAsia" w:cs="Times New Roman" w:hint="eastAsia"/>
                <w:b/>
                <w:sz w:val="28"/>
                <w:szCs w:val="28"/>
              </w:rPr>
              <w:t>228</w:t>
            </w:r>
            <w:r w:rsidR="00B517D4">
              <w:rPr>
                <w:rFonts w:asciiTheme="minorEastAsia" w:hAnsiTheme="minorEastAsia" w:cs="Times New Roman"/>
                <w:b/>
                <w:sz w:val="28"/>
                <w:szCs w:val="28"/>
              </w:rPr>
              <w:t>，</w:t>
            </w:r>
            <w:r w:rsidRPr="0049467F">
              <w:rPr>
                <w:rFonts w:asciiTheme="minorEastAsia" w:hAnsiTheme="minorEastAsia" w:cs="Times New Roman"/>
                <w:b/>
                <w:sz w:val="28"/>
                <w:szCs w:val="28"/>
              </w:rPr>
              <w:t>000元</w:t>
            </w:r>
          </w:p>
        </w:tc>
        <w:tc>
          <w:tcPr>
            <w:tcW w:w="2517" w:type="dxa"/>
            <w:vMerge/>
          </w:tcPr>
          <w:p w:rsidR="009104C7" w:rsidRPr="00605F9D" w:rsidRDefault="009104C7" w:rsidP="009104C7">
            <w:pPr>
              <w:spacing w:line="276" w:lineRule="auto"/>
              <w:jc w:val="both"/>
              <w:rPr>
                <w:rFonts w:asciiTheme="minorEastAsia" w:hAnsiTheme="minorEastAsia" w:cs="Times New Roman"/>
                <w:szCs w:val="24"/>
              </w:rPr>
            </w:pPr>
          </w:p>
        </w:tc>
      </w:tr>
      <w:tr w:rsidR="009104C7" w:rsidRPr="00605F9D" w:rsidTr="009104C7">
        <w:trPr>
          <w:trHeight w:val="693"/>
        </w:trPr>
        <w:tc>
          <w:tcPr>
            <w:tcW w:w="1560" w:type="dxa"/>
          </w:tcPr>
          <w:p w:rsidR="009104C7" w:rsidRPr="0049467F" w:rsidRDefault="009104C7" w:rsidP="009104C7">
            <w:pPr>
              <w:spacing w:line="276" w:lineRule="auto"/>
              <w:jc w:val="both"/>
              <w:rPr>
                <w:rFonts w:asciiTheme="minorEastAsia" w:hAnsiTheme="minorEastAsia" w:cs="Times New Roman"/>
                <w:b/>
                <w:sz w:val="28"/>
                <w:szCs w:val="28"/>
              </w:rPr>
            </w:pPr>
            <w:r w:rsidRPr="0049467F">
              <w:rPr>
                <w:rFonts w:asciiTheme="minorEastAsia" w:hAnsiTheme="minorEastAsia" w:cs="Times New Roman"/>
                <w:b/>
                <w:sz w:val="28"/>
                <w:szCs w:val="28"/>
              </w:rPr>
              <w:t>5人</w:t>
            </w:r>
          </w:p>
        </w:tc>
        <w:tc>
          <w:tcPr>
            <w:tcW w:w="1843" w:type="dxa"/>
          </w:tcPr>
          <w:p w:rsidR="009104C7" w:rsidRPr="0049467F" w:rsidRDefault="009104C7" w:rsidP="009104C7">
            <w:pPr>
              <w:spacing w:line="276" w:lineRule="auto"/>
              <w:jc w:val="center"/>
              <w:rPr>
                <w:rFonts w:asciiTheme="minorEastAsia" w:hAnsiTheme="minorEastAsia" w:cs="Times New Roman"/>
                <w:b/>
                <w:sz w:val="28"/>
                <w:szCs w:val="28"/>
              </w:rPr>
            </w:pPr>
            <w:r w:rsidRPr="0049467F">
              <w:rPr>
                <w:rFonts w:asciiTheme="minorEastAsia" w:hAnsiTheme="minorEastAsia" w:cs="Times New Roman" w:hint="eastAsia"/>
                <w:b/>
                <w:sz w:val="28"/>
                <w:szCs w:val="28"/>
              </w:rPr>
              <w:t>21</w:t>
            </w:r>
            <w:r w:rsidR="00B517D4">
              <w:rPr>
                <w:rFonts w:asciiTheme="minorEastAsia" w:hAnsiTheme="minorEastAsia" w:cs="Times New Roman"/>
                <w:b/>
                <w:sz w:val="28"/>
                <w:szCs w:val="28"/>
              </w:rPr>
              <w:t>，</w:t>
            </w:r>
            <w:r w:rsidRPr="0049467F">
              <w:rPr>
                <w:rFonts w:asciiTheme="minorEastAsia" w:hAnsiTheme="minorEastAsia" w:cs="Times New Roman" w:hint="eastAsia"/>
                <w:b/>
                <w:sz w:val="28"/>
                <w:szCs w:val="28"/>
              </w:rPr>
              <w:t>6</w:t>
            </w:r>
            <w:r w:rsidRPr="0049467F">
              <w:rPr>
                <w:rFonts w:asciiTheme="minorEastAsia" w:hAnsiTheme="minorEastAsia" w:cs="Times New Roman"/>
                <w:b/>
                <w:sz w:val="28"/>
                <w:szCs w:val="28"/>
              </w:rPr>
              <w:t>00元</w:t>
            </w:r>
          </w:p>
        </w:tc>
        <w:tc>
          <w:tcPr>
            <w:tcW w:w="2977" w:type="dxa"/>
          </w:tcPr>
          <w:p w:rsidR="009104C7" w:rsidRPr="0049467F" w:rsidRDefault="009104C7" w:rsidP="009104C7">
            <w:pPr>
              <w:spacing w:line="276" w:lineRule="auto"/>
              <w:jc w:val="center"/>
              <w:rPr>
                <w:rFonts w:asciiTheme="minorEastAsia" w:hAnsiTheme="minorEastAsia"/>
                <w:b/>
                <w:sz w:val="28"/>
                <w:szCs w:val="28"/>
              </w:rPr>
            </w:pPr>
            <w:r w:rsidRPr="0049467F">
              <w:rPr>
                <w:rFonts w:asciiTheme="minorEastAsia" w:hAnsiTheme="minorEastAsia"/>
                <w:b/>
                <w:sz w:val="28"/>
                <w:szCs w:val="28"/>
              </w:rPr>
              <w:t>29</w:t>
            </w:r>
            <w:r w:rsidR="00B517D4">
              <w:rPr>
                <w:rFonts w:asciiTheme="minorEastAsia" w:hAnsiTheme="minorEastAsia"/>
                <w:b/>
                <w:sz w:val="28"/>
                <w:szCs w:val="28"/>
              </w:rPr>
              <w:t>，</w:t>
            </w:r>
            <w:r w:rsidRPr="0049467F">
              <w:rPr>
                <w:rFonts w:asciiTheme="minorEastAsia" w:hAnsiTheme="minorEastAsia"/>
                <w:b/>
                <w:sz w:val="28"/>
                <w:szCs w:val="28"/>
              </w:rPr>
              <w:t>050</w:t>
            </w:r>
          </w:p>
        </w:tc>
        <w:tc>
          <w:tcPr>
            <w:tcW w:w="2126" w:type="dxa"/>
          </w:tcPr>
          <w:p w:rsidR="009104C7" w:rsidRPr="0049467F" w:rsidRDefault="009104C7" w:rsidP="009104C7">
            <w:pPr>
              <w:spacing w:line="276" w:lineRule="auto"/>
              <w:jc w:val="center"/>
              <w:rPr>
                <w:rFonts w:asciiTheme="minorEastAsia" w:hAnsiTheme="minorEastAsia" w:cs="Times New Roman"/>
                <w:b/>
                <w:sz w:val="28"/>
                <w:szCs w:val="28"/>
              </w:rPr>
            </w:pPr>
            <w:r w:rsidRPr="0049467F">
              <w:rPr>
                <w:rFonts w:asciiTheme="minorEastAsia" w:hAnsiTheme="minorEastAsia" w:cs="Times New Roman" w:hint="eastAsia"/>
                <w:b/>
                <w:sz w:val="28"/>
                <w:szCs w:val="28"/>
              </w:rPr>
              <w:t>228</w:t>
            </w:r>
            <w:r w:rsidR="00B517D4">
              <w:rPr>
                <w:rFonts w:asciiTheme="minorEastAsia" w:hAnsiTheme="minorEastAsia" w:cs="Times New Roman"/>
                <w:b/>
                <w:sz w:val="28"/>
                <w:szCs w:val="28"/>
              </w:rPr>
              <w:t>，</w:t>
            </w:r>
            <w:r w:rsidRPr="0049467F">
              <w:rPr>
                <w:rFonts w:asciiTheme="minorEastAsia" w:hAnsiTheme="minorEastAsia" w:cs="Times New Roman"/>
                <w:b/>
                <w:sz w:val="28"/>
                <w:szCs w:val="28"/>
              </w:rPr>
              <w:t>000元</w:t>
            </w:r>
          </w:p>
        </w:tc>
        <w:tc>
          <w:tcPr>
            <w:tcW w:w="2517" w:type="dxa"/>
            <w:vMerge/>
          </w:tcPr>
          <w:p w:rsidR="009104C7" w:rsidRPr="00605F9D" w:rsidRDefault="009104C7" w:rsidP="009104C7">
            <w:pPr>
              <w:spacing w:line="276" w:lineRule="auto"/>
              <w:jc w:val="both"/>
              <w:rPr>
                <w:rFonts w:asciiTheme="minorEastAsia" w:hAnsiTheme="minorEastAsia" w:cs="Times New Roman"/>
                <w:szCs w:val="24"/>
              </w:rPr>
            </w:pPr>
          </w:p>
        </w:tc>
      </w:tr>
      <w:tr w:rsidR="009104C7" w:rsidRPr="00605F9D" w:rsidTr="009104C7">
        <w:trPr>
          <w:trHeight w:val="693"/>
        </w:trPr>
        <w:tc>
          <w:tcPr>
            <w:tcW w:w="1560" w:type="dxa"/>
          </w:tcPr>
          <w:p w:rsidR="009104C7" w:rsidRPr="0049467F" w:rsidRDefault="009104C7" w:rsidP="009104C7">
            <w:pPr>
              <w:spacing w:line="276" w:lineRule="auto"/>
              <w:jc w:val="both"/>
              <w:rPr>
                <w:rFonts w:asciiTheme="minorEastAsia" w:hAnsiTheme="minorEastAsia" w:cs="Times New Roman"/>
                <w:b/>
                <w:sz w:val="28"/>
                <w:szCs w:val="28"/>
              </w:rPr>
            </w:pPr>
            <w:r w:rsidRPr="0049467F">
              <w:rPr>
                <w:rFonts w:asciiTheme="minorEastAsia" w:hAnsiTheme="minorEastAsia" w:cs="Times New Roman"/>
                <w:b/>
                <w:sz w:val="28"/>
                <w:szCs w:val="28"/>
              </w:rPr>
              <w:t>6人或以上</w:t>
            </w:r>
          </w:p>
        </w:tc>
        <w:tc>
          <w:tcPr>
            <w:tcW w:w="1843" w:type="dxa"/>
          </w:tcPr>
          <w:p w:rsidR="009104C7" w:rsidRPr="0049467F" w:rsidRDefault="009104C7" w:rsidP="009104C7">
            <w:pPr>
              <w:spacing w:line="276" w:lineRule="auto"/>
              <w:jc w:val="center"/>
              <w:rPr>
                <w:rFonts w:asciiTheme="minorEastAsia" w:hAnsiTheme="minorEastAsia" w:cs="Times New Roman"/>
                <w:b/>
                <w:sz w:val="28"/>
                <w:szCs w:val="28"/>
              </w:rPr>
            </w:pPr>
            <w:r w:rsidRPr="0049467F">
              <w:rPr>
                <w:rFonts w:asciiTheme="minorEastAsia" w:hAnsiTheme="minorEastAsia" w:cs="Times New Roman" w:hint="eastAsia"/>
                <w:b/>
                <w:sz w:val="28"/>
                <w:szCs w:val="28"/>
              </w:rPr>
              <w:t>23</w:t>
            </w:r>
            <w:r w:rsidR="00B517D4">
              <w:rPr>
                <w:rFonts w:asciiTheme="minorEastAsia" w:hAnsiTheme="minorEastAsia" w:cs="Times New Roman"/>
                <w:b/>
                <w:sz w:val="28"/>
                <w:szCs w:val="28"/>
              </w:rPr>
              <w:t>，</w:t>
            </w:r>
            <w:r w:rsidRPr="0049467F">
              <w:rPr>
                <w:rFonts w:asciiTheme="minorEastAsia" w:hAnsiTheme="minorEastAsia" w:cs="Times New Roman" w:hint="eastAsia"/>
                <w:b/>
                <w:sz w:val="28"/>
                <w:szCs w:val="28"/>
              </w:rPr>
              <w:t>5</w:t>
            </w:r>
            <w:r w:rsidRPr="0049467F">
              <w:rPr>
                <w:rFonts w:asciiTheme="minorEastAsia" w:hAnsiTheme="minorEastAsia" w:cs="Times New Roman"/>
                <w:b/>
                <w:sz w:val="28"/>
                <w:szCs w:val="28"/>
              </w:rPr>
              <w:t>00元</w:t>
            </w:r>
          </w:p>
        </w:tc>
        <w:tc>
          <w:tcPr>
            <w:tcW w:w="2977" w:type="dxa"/>
          </w:tcPr>
          <w:p w:rsidR="009104C7" w:rsidRPr="0049467F" w:rsidRDefault="009104C7" w:rsidP="009104C7">
            <w:pPr>
              <w:spacing w:line="276" w:lineRule="auto"/>
              <w:jc w:val="center"/>
              <w:rPr>
                <w:rFonts w:asciiTheme="minorEastAsia" w:hAnsiTheme="minorEastAsia"/>
                <w:b/>
                <w:sz w:val="28"/>
                <w:szCs w:val="28"/>
              </w:rPr>
            </w:pPr>
            <w:r w:rsidRPr="0049467F">
              <w:rPr>
                <w:rFonts w:asciiTheme="minorEastAsia" w:hAnsiTheme="minorEastAsia"/>
                <w:b/>
                <w:sz w:val="28"/>
                <w:szCs w:val="28"/>
              </w:rPr>
              <w:t>32</w:t>
            </w:r>
            <w:r w:rsidR="00B517D4">
              <w:rPr>
                <w:rFonts w:asciiTheme="minorEastAsia" w:hAnsiTheme="minorEastAsia"/>
                <w:b/>
                <w:sz w:val="28"/>
                <w:szCs w:val="28"/>
              </w:rPr>
              <w:t>，</w:t>
            </w:r>
            <w:r w:rsidRPr="0049467F">
              <w:rPr>
                <w:rFonts w:asciiTheme="minorEastAsia" w:hAnsiTheme="minorEastAsia"/>
                <w:b/>
                <w:sz w:val="28"/>
                <w:szCs w:val="28"/>
              </w:rPr>
              <w:t>540</w:t>
            </w:r>
          </w:p>
        </w:tc>
        <w:tc>
          <w:tcPr>
            <w:tcW w:w="2126" w:type="dxa"/>
          </w:tcPr>
          <w:p w:rsidR="009104C7" w:rsidRPr="0049467F" w:rsidRDefault="009104C7" w:rsidP="009104C7">
            <w:pPr>
              <w:spacing w:line="276" w:lineRule="auto"/>
              <w:jc w:val="center"/>
              <w:rPr>
                <w:rFonts w:asciiTheme="minorEastAsia" w:hAnsiTheme="minorEastAsia" w:cs="Times New Roman"/>
                <w:b/>
                <w:sz w:val="28"/>
                <w:szCs w:val="28"/>
              </w:rPr>
            </w:pPr>
            <w:r w:rsidRPr="0049467F">
              <w:rPr>
                <w:rFonts w:asciiTheme="minorEastAsia" w:hAnsiTheme="minorEastAsia" w:cs="Times New Roman" w:hint="eastAsia"/>
                <w:b/>
                <w:sz w:val="28"/>
                <w:szCs w:val="28"/>
              </w:rPr>
              <w:t>228</w:t>
            </w:r>
            <w:r w:rsidR="00B517D4">
              <w:rPr>
                <w:rFonts w:asciiTheme="minorEastAsia" w:hAnsiTheme="minorEastAsia" w:cs="Times New Roman"/>
                <w:b/>
                <w:sz w:val="28"/>
                <w:szCs w:val="28"/>
              </w:rPr>
              <w:t>，</w:t>
            </w:r>
            <w:r w:rsidRPr="0049467F">
              <w:rPr>
                <w:rFonts w:asciiTheme="minorEastAsia" w:hAnsiTheme="minorEastAsia" w:cs="Times New Roman"/>
                <w:b/>
                <w:sz w:val="28"/>
                <w:szCs w:val="28"/>
              </w:rPr>
              <w:t>000元</w:t>
            </w:r>
          </w:p>
        </w:tc>
        <w:tc>
          <w:tcPr>
            <w:tcW w:w="2517" w:type="dxa"/>
            <w:vMerge/>
          </w:tcPr>
          <w:p w:rsidR="009104C7" w:rsidRPr="00605F9D" w:rsidRDefault="009104C7" w:rsidP="009104C7">
            <w:pPr>
              <w:spacing w:line="276" w:lineRule="auto"/>
              <w:jc w:val="both"/>
              <w:rPr>
                <w:rFonts w:asciiTheme="minorEastAsia" w:hAnsiTheme="minorEastAsia" w:cs="Times New Roman"/>
                <w:szCs w:val="24"/>
              </w:rPr>
            </w:pPr>
          </w:p>
        </w:tc>
      </w:tr>
    </w:tbl>
    <w:p w:rsidR="002D1756" w:rsidRPr="00A14EE1" w:rsidRDefault="0049467F" w:rsidP="00A14EE1">
      <w:pPr>
        <w:spacing w:line="276" w:lineRule="auto"/>
        <w:rPr>
          <w:rFonts w:asciiTheme="minorEastAsia" w:hAnsiTheme="minorEastAsia"/>
          <w:b/>
          <w:szCs w:val="24"/>
          <w:lang w:eastAsia="zh-HK"/>
        </w:rPr>
      </w:pPr>
      <w:r>
        <w:rPr>
          <w:rFonts w:asciiTheme="minorEastAsia" w:hAnsiTheme="minorEastAsia" w:hint="eastAsia"/>
          <w:b/>
          <w:szCs w:val="24"/>
        </w:rPr>
        <w:t xml:space="preserve">圖3. </w:t>
      </w:r>
      <w:r w:rsidRPr="0049467F">
        <w:rPr>
          <w:rFonts w:asciiTheme="minorEastAsia" w:hAnsiTheme="minorEastAsia" w:hint="eastAsia"/>
          <w:b/>
          <w:szCs w:val="24"/>
          <w:lang w:eastAsia="zh-HK"/>
        </w:rPr>
        <w:t>對比關愛基金(N無人士生活津貼)和交通津貼申請資格</w:t>
      </w:r>
    </w:p>
    <w:p w:rsidR="00175D36" w:rsidRPr="006263F4" w:rsidRDefault="00175D36" w:rsidP="00175D36">
      <w:pPr>
        <w:spacing w:line="276" w:lineRule="auto"/>
        <w:rPr>
          <w:rFonts w:ascii="華康儷粗黑" w:eastAsia="華康儷粗黑" w:hAnsiTheme="minorEastAsia"/>
          <w:b/>
          <w:szCs w:val="24"/>
          <w:u w:val="single"/>
          <w:lang w:eastAsia="zh-HK"/>
        </w:rPr>
      </w:pPr>
      <w:r w:rsidRPr="006263F4">
        <w:rPr>
          <w:rFonts w:ascii="華康儷粗黑" w:eastAsia="華康儷粗黑" w:hAnsiTheme="minorEastAsia" w:hint="eastAsia"/>
          <w:b/>
          <w:szCs w:val="24"/>
          <w:u w:val="single"/>
          <w:lang w:eastAsia="zh-HK"/>
        </w:rPr>
        <w:t>審查</w:t>
      </w:r>
      <w:r w:rsidR="006263F4" w:rsidRPr="006263F4">
        <w:rPr>
          <w:rFonts w:ascii="華康儷粗黑" w:eastAsia="華康儷粗黑" w:hAnsiTheme="minorEastAsia" w:hint="eastAsia"/>
          <w:b/>
          <w:szCs w:val="24"/>
          <w:u w:val="single"/>
        </w:rPr>
        <w:t>手續繁複</w:t>
      </w:r>
      <w:r w:rsidR="001437E2" w:rsidRPr="006263F4">
        <w:rPr>
          <w:rFonts w:ascii="華康儷粗黑" w:eastAsia="華康儷粗黑" w:hAnsiTheme="minorEastAsia" w:hint="eastAsia"/>
          <w:b/>
          <w:szCs w:val="24"/>
          <w:u w:val="single"/>
        </w:rPr>
        <w:t xml:space="preserve">    </w:t>
      </w:r>
      <w:r w:rsidRPr="006263F4">
        <w:rPr>
          <w:rFonts w:ascii="華康儷粗黑" w:eastAsia="華康儷粗黑" w:hAnsiTheme="minorEastAsia" w:hint="eastAsia"/>
          <w:b/>
          <w:szCs w:val="24"/>
          <w:u w:val="single"/>
          <w:lang w:eastAsia="zh-HK"/>
        </w:rPr>
        <w:t>有違鼓勵就業的政策目標</w:t>
      </w:r>
      <w:r w:rsidR="001437E2" w:rsidRPr="006263F4">
        <w:rPr>
          <w:rFonts w:ascii="華康儷粗黑" w:eastAsia="華康儷粗黑" w:hAnsiTheme="minorEastAsia" w:hint="eastAsia"/>
          <w:b/>
          <w:szCs w:val="24"/>
          <w:u w:val="single"/>
        </w:rPr>
        <w:t xml:space="preserve">    </w:t>
      </w:r>
      <w:r w:rsidRPr="006263F4">
        <w:rPr>
          <w:rFonts w:ascii="華康儷粗黑" w:eastAsia="華康儷粗黑" w:hAnsiTheme="minorEastAsia" w:hint="eastAsia"/>
          <w:b/>
          <w:szCs w:val="24"/>
          <w:u w:val="single"/>
          <w:lang w:eastAsia="zh-HK"/>
        </w:rPr>
        <w:t>導致行政費用大增</w:t>
      </w:r>
    </w:p>
    <w:p w:rsidR="006263F4" w:rsidRPr="005D4968" w:rsidRDefault="005A68B9" w:rsidP="006263F4">
      <w:pPr>
        <w:spacing w:line="276" w:lineRule="auto"/>
        <w:ind w:firstLineChars="200" w:firstLine="480"/>
        <w:rPr>
          <w:rFonts w:asciiTheme="minorEastAsia" w:hAnsiTheme="minorEastAsia"/>
        </w:rPr>
      </w:pPr>
      <w:r w:rsidRPr="005A68B9">
        <w:rPr>
          <w:rFonts w:asciiTheme="minorEastAsia" w:hAnsiTheme="minorEastAsia" w:hint="eastAsia"/>
          <w:szCs w:val="24"/>
        </w:rPr>
        <w:t>現時交通津貼計劃的申請資格是參照</w:t>
      </w:r>
      <w:proofErr w:type="gramStart"/>
      <w:r>
        <w:rPr>
          <w:rFonts w:asciiTheme="minorEastAsia" w:hAnsiTheme="minorEastAsia" w:hint="eastAsia"/>
          <w:szCs w:val="24"/>
          <w:lang w:eastAsia="zh-HK"/>
        </w:rPr>
        <w:t>申請</w:t>
      </w:r>
      <w:r w:rsidRPr="005A68B9">
        <w:rPr>
          <w:rFonts w:asciiTheme="minorEastAsia" w:hAnsiTheme="minorEastAsia" w:hint="eastAsia"/>
          <w:szCs w:val="24"/>
        </w:rPr>
        <w:t>綜援的</w:t>
      </w:r>
      <w:proofErr w:type="gramEnd"/>
      <w:r w:rsidRPr="005A68B9">
        <w:rPr>
          <w:rFonts w:asciiTheme="minorEastAsia" w:hAnsiTheme="minorEastAsia" w:hint="eastAsia"/>
          <w:szCs w:val="24"/>
        </w:rPr>
        <w:t>資產</w:t>
      </w:r>
      <w:r>
        <w:rPr>
          <w:rFonts w:asciiTheme="minorEastAsia" w:hAnsiTheme="minorEastAsia" w:hint="eastAsia"/>
          <w:szCs w:val="24"/>
          <w:lang w:eastAsia="zh-HK"/>
        </w:rPr>
        <w:t>限額的3倍</w:t>
      </w:r>
      <w:r w:rsidRPr="005A68B9">
        <w:rPr>
          <w:rFonts w:asciiTheme="minorEastAsia" w:hAnsiTheme="minorEastAsia" w:hint="eastAsia"/>
          <w:szCs w:val="24"/>
        </w:rPr>
        <w:t>來釐定，資產限額</w:t>
      </w:r>
      <w:r w:rsidR="00CB05D7">
        <w:rPr>
          <w:rFonts w:asciiTheme="minorEastAsia" w:hAnsiTheme="minorEastAsia" w:hint="eastAsia"/>
          <w:szCs w:val="24"/>
          <w:lang w:eastAsia="zh-HK"/>
        </w:rPr>
        <w:t>對</w:t>
      </w:r>
      <w:r w:rsidR="00CB05D7">
        <w:rPr>
          <w:rFonts w:asciiTheme="minorEastAsia" w:hAnsiTheme="minorEastAsia" w:hint="eastAsia"/>
          <w:szCs w:val="24"/>
        </w:rPr>
        <w:t>比</w:t>
      </w:r>
      <w:r w:rsidR="00CB05D7">
        <w:rPr>
          <w:rFonts w:asciiTheme="minorEastAsia" w:hAnsiTheme="minorEastAsia" w:hint="eastAsia"/>
          <w:szCs w:val="24"/>
          <w:lang w:eastAsia="zh-HK"/>
        </w:rPr>
        <w:t>公屋申</w:t>
      </w:r>
      <w:r w:rsidR="00CB05D7">
        <w:rPr>
          <w:rFonts w:asciiTheme="minorEastAsia" w:hAnsiTheme="minorEastAsia" w:hint="eastAsia"/>
          <w:szCs w:val="24"/>
        </w:rPr>
        <w:t>請</w:t>
      </w:r>
      <w:proofErr w:type="gramStart"/>
      <w:r w:rsidR="00CB05D7">
        <w:rPr>
          <w:rFonts w:asciiTheme="minorEastAsia" w:hAnsiTheme="minorEastAsia" w:hint="eastAsia"/>
          <w:szCs w:val="24"/>
          <w:lang w:eastAsia="zh-HK"/>
        </w:rPr>
        <w:t>﹑</w:t>
      </w:r>
      <w:proofErr w:type="gramEnd"/>
      <w:r w:rsidR="00CB05D7">
        <w:rPr>
          <w:rFonts w:asciiTheme="minorEastAsia" w:hAnsiTheme="minorEastAsia" w:hint="eastAsia"/>
          <w:szCs w:val="24"/>
        </w:rPr>
        <w:t>關</w:t>
      </w:r>
      <w:r w:rsidR="00CB05D7">
        <w:rPr>
          <w:rFonts w:asciiTheme="minorEastAsia" w:hAnsiTheme="minorEastAsia" w:hint="eastAsia"/>
          <w:szCs w:val="24"/>
          <w:lang w:eastAsia="zh-HK"/>
        </w:rPr>
        <w:t>愛基金</w:t>
      </w:r>
      <w:r w:rsidR="00CB05D7">
        <w:rPr>
          <w:rFonts w:asciiTheme="minorEastAsia" w:hAnsiTheme="minorEastAsia" w:hint="eastAsia"/>
          <w:szCs w:val="24"/>
        </w:rPr>
        <w:t>N</w:t>
      </w:r>
      <w:r w:rsidR="00CB05D7">
        <w:rPr>
          <w:rFonts w:asciiTheme="minorEastAsia" w:hAnsiTheme="minorEastAsia" w:hint="eastAsia"/>
          <w:szCs w:val="24"/>
          <w:lang w:eastAsia="zh-HK"/>
        </w:rPr>
        <w:t>無津</w:t>
      </w:r>
      <w:r w:rsidR="00CB05D7">
        <w:rPr>
          <w:rFonts w:asciiTheme="minorEastAsia" w:hAnsiTheme="minorEastAsia" w:hint="eastAsia"/>
          <w:szCs w:val="24"/>
        </w:rPr>
        <w:t>貼</w:t>
      </w:r>
      <w:r w:rsidR="00CB05D7">
        <w:rPr>
          <w:rFonts w:asciiTheme="minorEastAsia" w:hAnsiTheme="minorEastAsia" w:hint="eastAsia"/>
          <w:szCs w:val="24"/>
          <w:lang w:eastAsia="zh-HK"/>
        </w:rPr>
        <w:t>明顯</w:t>
      </w:r>
      <w:r w:rsidRPr="005A68B9">
        <w:rPr>
          <w:rFonts w:asciiTheme="minorEastAsia" w:hAnsiTheme="minorEastAsia" w:hint="eastAsia"/>
          <w:szCs w:val="24"/>
        </w:rPr>
        <w:t>嚴格。交通津貼計劃</w:t>
      </w:r>
      <w:r w:rsidR="00CB05D7">
        <w:rPr>
          <w:rFonts w:asciiTheme="minorEastAsia" w:hAnsiTheme="minorEastAsia" w:hint="eastAsia"/>
          <w:szCs w:val="24"/>
          <w:lang w:eastAsia="zh-HK"/>
        </w:rPr>
        <w:t>原</w:t>
      </w:r>
      <w:r>
        <w:rPr>
          <w:rFonts w:asciiTheme="minorEastAsia" w:hAnsiTheme="minorEastAsia" w:hint="eastAsia"/>
          <w:szCs w:val="24"/>
          <w:lang w:eastAsia="zh-HK"/>
        </w:rPr>
        <w:t>為</w:t>
      </w:r>
      <w:r w:rsidRPr="005A68B9">
        <w:rPr>
          <w:rFonts w:asciiTheme="minorEastAsia" w:hAnsiTheme="minorEastAsia" w:hint="eastAsia"/>
          <w:szCs w:val="24"/>
        </w:rPr>
        <w:t>鼓勵</w:t>
      </w:r>
      <w:r w:rsidR="00CB05D7" w:rsidRPr="00CB05D7">
        <w:rPr>
          <w:rFonts w:asciiTheme="minorEastAsia" w:hAnsiTheme="minorEastAsia" w:hint="eastAsia"/>
          <w:szCs w:val="24"/>
        </w:rPr>
        <w:t>低收人士的</w:t>
      </w:r>
      <w:r w:rsidRPr="005A68B9">
        <w:rPr>
          <w:rFonts w:asciiTheme="minorEastAsia" w:hAnsiTheme="minorEastAsia" w:hint="eastAsia"/>
          <w:szCs w:val="24"/>
        </w:rPr>
        <w:t>持續就業</w:t>
      </w:r>
      <w:r w:rsidR="00CB05D7">
        <w:rPr>
          <w:rFonts w:asciiTheme="minorEastAsia" w:hAnsiTheme="minorEastAsia" w:hint="eastAsia"/>
          <w:szCs w:val="24"/>
          <w:lang w:eastAsia="zh-HK"/>
        </w:rPr>
        <w:t>和</w:t>
      </w:r>
      <w:r w:rsidRPr="005A68B9">
        <w:rPr>
          <w:rFonts w:asciiTheme="minorEastAsia" w:hAnsiTheme="minorEastAsia" w:hint="eastAsia"/>
          <w:szCs w:val="24"/>
        </w:rPr>
        <w:t>減輕</w:t>
      </w:r>
      <w:r w:rsidR="00CB05D7">
        <w:rPr>
          <w:rFonts w:asciiTheme="minorEastAsia" w:hAnsiTheme="minorEastAsia" w:hint="eastAsia"/>
          <w:szCs w:val="24"/>
          <w:lang w:eastAsia="zh-HK"/>
        </w:rPr>
        <w:t>其</w:t>
      </w:r>
      <w:r w:rsidRPr="005A68B9">
        <w:rPr>
          <w:rFonts w:asciiTheme="minorEastAsia" w:hAnsiTheme="minorEastAsia" w:hint="eastAsia"/>
          <w:szCs w:val="24"/>
        </w:rPr>
        <w:t>交通費負擔，</w:t>
      </w:r>
      <w:r w:rsidR="00CB05D7">
        <w:rPr>
          <w:rFonts w:asciiTheme="minorEastAsia" w:hAnsiTheme="minorEastAsia" w:hint="eastAsia"/>
          <w:szCs w:val="24"/>
          <w:lang w:eastAsia="zh-HK"/>
        </w:rPr>
        <w:t>但一人申請全家</w:t>
      </w:r>
      <w:r w:rsidR="00CB05D7" w:rsidRPr="00CB05D7">
        <w:rPr>
          <w:rFonts w:asciiTheme="minorEastAsia" w:hAnsiTheme="minorEastAsia" w:hint="eastAsia"/>
          <w:szCs w:val="24"/>
          <w:lang w:eastAsia="zh-HK"/>
        </w:rPr>
        <w:t>審查</w:t>
      </w:r>
      <w:r w:rsidR="00CB05D7">
        <w:rPr>
          <w:rFonts w:asciiTheme="minorEastAsia" w:hAnsiTheme="minorEastAsia" w:hint="eastAsia"/>
          <w:szCs w:val="24"/>
          <w:lang w:eastAsia="zh-HK"/>
        </w:rPr>
        <w:t>的住戶申請，要求全部住戶</w:t>
      </w:r>
      <w:r w:rsidR="00CB05D7" w:rsidRPr="00CB05D7">
        <w:rPr>
          <w:rFonts w:asciiTheme="minorEastAsia" w:hAnsiTheme="minorEastAsia" w:hint="eastAsia"/>
          <w:szCs w:val="24"/>
          <w:lang w:eastAsia="zh-HK"/>
        </w:rPr>
        <w:t>提交</w:t>
      </w:r>
      <w:r w:rsidR="00CB05D7">
        <w:rPr>
          <w:rFonts w:asciiTheme="minorEastAsia" w:hAnsiTheme="minorEastAsia" w:hint="eastAsia"/>
          <w:szCs w:val="24"/>
          <w:lang w:eastAsia="zh-HK"/>
        </w:rPr>
        <w:t>資產證明</w:t>
      </w:r>
      <w:r w:rsidR="00CB05D7" w:rsidRPr="00CB05D7">
        <w:rPr>
          <w:rFonts w:asciiTheme="minorEastAsia" w:hAnsiTheme="minorEastAsia" w:hint="eastAsia"/>
          <w:szCs w:val="24"/>
          <w:lang w:eastAsia="zh-HK"/>
        </w:rPr>
        <w:t>資料，</w:t>
      </w:r>
      <w:r w:rsidR="00CB05D7">
        <w:rPr>
          <w:rFonts w:asciiTheme="minorEastAsia" w:hAnsiTheme="minorEastAsia" w:hint="eastAsia"/>
          <w:szCs w:val="24"/>
          <w:lang w:eastAsia="zh-HK"/>
        </w:rPr>
        <w:t>實在</w:t>
      </w:r>
      <w:r w:rsidRPr="005A68B9">
        <w:rPr>
          <w:rFonts w:asciiTheme="minorEastAsia" w:hAnsiTheme="minorEastAsia" w:hint="eastAsia"/>
          <w:szCs w:val="24"/>
        </w:rPr>
        <w:t>定得過嚴，令許多低薪僱員</w:t>
      </w:r>
      <w:r w:rsidR="00CB05D7">
        <w:rPr>
          <w:rFonts w:asciiTheme="minorEastAsia" w:hAnsiTheme="minorEastAsia" w:hint="eastAsia"/>
          <w:szCs w:val="24"/>
          <w:lang w:eastAsia="zh-HK"/>
        </w:rPr>
        <w:t>不</w:t>
      </w:r>
      <w:r w:rsidRPr="005A68B9">
        <w:rPr>
          <w:rFonts w:asciiTheme="minorEastAsia" w:hAnsiTheme="minorEastAsia" w:hint="eastAsia"/>
          <w:szCs w:val="24"/>
        </w:rPr>
        <w:t>能受惠</w:t>
      </w:r>
      <w:r w:rsidR="00CB05D7">
        <w:rPr>
          <w:rFonts w:asciiTheme="minorEastAsia" w:hAnsiTheme="minorEastAsia" w:hint="eastAsia"/>
          <w:szCs w:val="24"/>
          <w:lang w:eastAsia="zh-HK"/>
        </w:rPr>
        <w:t>。</w:t>
      </w:r>
      <w:r w:rsidR="00A14EE1">
        <w:rPr>
          <w:rFonts w:asciiTheme="minorEastAsia" w:hAnsiTheme="minorEastAsia" w:hint="eastAsia"/>
          <w:szCs w:val="24"/>
          <w:lang w:eastAsia="zh-HK"/>
        </w:rPr>
        <w:t>勞工處</w:t>
      </w:r>
      <w:r w:rsidR="00A14EE1" w:rsidRPr="00A14EE1">
        <w:rPr>
          <w:rFonts w:asciiTheme="minorEastAsia" w:hAnsiTheme="minorEastAsia" w:hint="eastAsia"/>
          <w:szCs w:val="24"/>
          <w:lang w:eastAsia="zh-HK"/>
        </w:rPr>
        <w:t>已批出津貼予 215</w:t>
      </w:r>
      <w:r w:rsidR="00B517D4">
        <w:rPr>
          <w:rFonts w:asciiTheme="minorEastAsia" w:hAnsiTheme="minorEastAsia" w:hint="eastAsia"/>
          <w:szCs w:val="24"/>
          <w:lang w:eastAsia="zh-HK"/>
        </w:rPr>
        <w:t>，</w:t>
      </w:r>
      <w:r w:rsidR="00A14EE1" w:rsidRPr="00A14EE1">
        <w:rPr>
          <w:rFonts w:asciiTheme="minorEastAsia" w:hAnsiTheme="minorEastAsia" w:hint="eastAsia"/>
          <w:szCs w:val="24"/>
          <w:lang w:eastAsia="zh-HK"/>
        </w:rPr>
        <w:t>738</w:t>
      </w:r>
      <w:r w:rsidR="00A14EE1">
        <w:rPr>
          <w:rFonts w:asciiTheme="minorEastAsia" w:hAnsiTheme="minorEastAsia" w:hint="eastAsia"/>
          <w:szCs w:val="24"/>
          <w:lang w:eastAsia="zh-HK"/>
        </w:rPr>
        <w:t>人次</w:t>
      </w:r>
      <w:r w:rsidR="00A14EE1" w:rsidRPr="00A14EE1">
        <w:rPr>
          <w:rFonts w:asciiTheme="minorEastAsia" w:hAnsiTheme="minorEastAsia" w:hint="eastAsia"/>
          <w:szCs w:val="24"/>
          <w:lang w:eastAsia="zh-HK"/>
        </w:rPr>
        <w:t>，當中</w:t>
      </w:r>
      <w:r w:rsidR="00A14EE1">
        <w:rPr>
          <w:rFonts w:asciiTheme="minorEastAsia" w:hAnsiTheme="minorEastAsia"/>
          <w:szCs w:val="24"/>
          <w:lang w:eastAsia="zh-HK"/>
        </w:rPr>
        <w:t>67.6</w:t>
      </w:r>
      <w:r w:rsidR="00A14EE1" w:rsidRPr="00A14EE1">
        <w:rPr>
          <w:rFonts w:asciiTheme="minorEastAsia" w:hAnsiTheme="minorEastAsia"/>
          <w:szCs w:val="24"/>
          <w:lang w:eastAsia="zh-HK"/>
        </w:rPr>
        <w:t>%</w:t>
      </w:r>
      <w:r w:rsidR="00A14EE1" w:rsidRPr="00A14EE1">
        <w:rPr>
          <w:rFonts w:asciiTheme="minorEastAsia" w:hAnsiTheme="minorEastAsia" w:hint="eastAsia"/>
          <w:szCs w:val="24"/>
          <w:lang w:eastAsia="zh-HK"/>
        </w:rPr>
        <w:t>屬</w:t>
      </w:r>
      <w:r w:rsidR="00A14EE1">
        <w:rPr>
          <w:rFonts w:asciiTheme="minorEastAsia" w:hAnsiTheme="minorEastAsia" w:hint="eastAsia"/>
          <w:szCs w:val="24"/>
          <w:lang w:eastAsia="zh-HK"/>
        </w:rPr>
        <w:t>住戶</w:t>
      </w:r>
      <w:r w:rsidR="00A14EE1" w:rsidRPr="00A14EE1">
        <w:rPr>
          <w:rFonts w:asciiTheme="minorEastAsia" w:hAnsiTheme="minorEastAsia" w:hint="eastAsia"/>
          <w:szCs w:val="24"/>
          <w:lang w:eastAsia="zh-HK"/>
        </w:rPr>
        <w:t>申請。</w:t>
      </w:r>
      <w:r w:rsidR="00E64811">
        <w:rPr>
          <w:rFonts w:asciiTheme="minorEastAsia" w:hAnsiTheme="minorEastAsia" w:hint="eastAsia"/>
          <w:szCs w:val="24"/>
          <w:lang w:eastAsia="zh-HK"/>
        </w:rPr>
        <w:t>申請交津</w:t>
      </w:r>
      <w:r w:rsidR="00E64811" w:rsidRPr="00E64811">
        <w:rPr>
          <w:rFonts w:asciiTheme="minorEastAsia" w:hAnsiTheme="minorEastAsia" w:hint="eastAsia"/>
          <w:szCs w:val="24"/>
          <w:lang w:eastAsia="zh-HK"/>
        </w:rPr>
        <w:t>計劃時是需要</w:t>
      </w:r>
      <w:r w:rsidR="00E10E0B">
        <w:rPr>
          <w:rFonts w:asciiTheme="minorEastAsia" w:hAnsiTheme="minorEastAsia" w:hint="eastAsia"/>
          <w:szCs w:val="24"/>
          <w:lang w:eastAsia="zh-HK"/>
        </w:rPr>
        <w:t>所有</w:t>
      </w:r>
      <w:r w:rsidR="00E64811" w:rsidRPr="00E64811">
        <w:rPr>
          <w:rFonts w:asciiTheme="minorEastAsia" w:hAnsiTheme="minorEastAsia" w:hint="eastAsia"/>
          <w:szCs w:val="24"/>
          <w:lang w:eastAsia="zh-HK"/>
        </w:rPr>
        <w:t>家庭成員申報收入和資產，間接把個</w:t>
      </w:r>
      <w:r w:rsidR="00E10E0B">
        <w:rPr>
          <w:rFonts w:asciiTheme="minorEastAsia" w:hAnsiTheme="minorEastAsia" w:hint="eastAsia"/>
          <w:szCs w:val="24"/>
          <w:lang w:eastAsia="zh-HK"/>
        </w:rPr>
        <w:t>別成員的</w:t>
      </w:r>
      <w:r w:rsidR="00E64811" w:rsidRPr="00E64811">
        <w:rPr>
          <w:rFonts w:asciiTheme="minorEastAsia" w:hAnsiTheme="minorEastAsia" w:hint="eastAsia"/>
          <w:szCs w:val="24"/>
          <w:lang w:eastAsia="zh-HK"/>
        </w:rPr>
        <w:t>私人</w:t>
      </w:r>
      <w:r w:rsidR="00E10E0B">
        <w:rPr>
          <w:rFonts w:asciiTheme="minorEastAsia" w:hAnsiTheme="minorEastAsia" w:hint="eastAsia"/>
          <w:szCs w:val="24"/>
          <w:lang w:eastAsia="zh-HK"/>
        </w:rPr>
        <w:t>資產</w:t>
      </w:r>
      <w:r w:rsidR="00E64811" w:rsidRPr="00E64811">
        <w:rPr>
          <w:rFonts w:asciiTheme="minorEastAsia" w:hAnsiTheme="minorEastAsia" w:hint="eastAsia"/>
          <w:szCs w:val="24"/>
          <w:lang w:eastAsia="zh-HK"/>
        </w:rPr>
        <w:t>公開，</w:t>
      </w:r>
      <w:r w:rsidR="00E10E0B">
        <w:rPr>
          <w:rFonts w:asciiTheme="minorEastAsia" w:hAnsiTheme="minorEastAsia" w:hint="eastAsia"/>
          <w:szCs w:val="24"/>
          <w:lang w:eastAsia="zh-HK"/>
        </w:rPr>
        <w:t>但現實上</w:t>
      </w:r>
      <w:r w:rsidR="00E64811" w:rsidRPr="00E64811">
        <w:rPr>
          <w:rFonts w:asciiTheme="minorEastAsia" w:hAnsiTheme="minorEastAsia" w:hint="eastAsia"/>
          <w:szCs w:val="24"/>
          <w:lang w:eastAsia="zh-HK"/>
        </w:rPr>
        <w:t>並非</w:t>
      </w:r>
      <w:r w:rsidR="00E64811" w:rsidRPr="00E64811">
        <w:rPr>
          <w:rFonts w:asciiTheme="minorEastAsia" w:hAnsiTheme="minorEastAsia" w:hint="eastAsia"/>
          <w:szCs w:val="24"/>
          <w:lang w:eastAsia="zh-HK"/>
        </w:rPr>
        <w:lastRenderedPageBreak/>
        <w:t>每一位家庭成員</w:t>
      </w:r>
      <w:r w:rsidR="00E10E0B">
        <w:rPr>
          <w:rFonts w:asciiTheme="minorEastAsia" w:hAnsiTheme="minorEastAsia" w:hint="eastAsia"/>
          <w:szCs w:val="24"/>
          <w:lang w:eastAsia="zh-HK"/>
        </w:rPr>
        <w:t>特別</w:t>
      </w:r>
      <w:r w:rsidR="00E10E0B" w:rsidRPr="00E10E0B">
        <w:rPr>
          <w:rFonts w:asciiTheme="minorEastAsia" w:hAnsiTheme="minorEastAsia" w:hint="eastAsia"/>
          <w:szCs w:val="24"/>
          <w:lang w:eastAsia="zh-HK"/>
        </w:rPr>
        <w:t>長者</w:t>
      </w:r>
      <w:r w:rsidR="00E64811" w:rsidRPr="00E64811">
        <w:rPr>
          <w:rFonts w:asciiTheme="minorEastAsia" w:hAnsiTheme="minorEastAsia" w:hint="eastAsia"/>
          <w:szCs w:val="24"/>
          <w:lang w:eastAsia="zh-HK"/>
        </w:rPr>
        <w:t>均願意作出申報</w:t>
      </w:r>
      <w:r w:rsidR="00E10E0B">
        <w:rPr>
          <w:rFonts w:asciiTheme="minorEastAsia" w:hAnsiTheme="minorEastAsia" w:hint="eastAsia"/>
          <w:szCs w:val="24"/>
          <w:lang w:eastAsia="zh-HK"/>
        </w:rPr>
        <w:t>和有</w:t>
      </w:r>
      <w:r w:rsidR="00E10E0B">
        <w:rPr>
          <w:rFonts w:asciiTheme="minorEastAsia" w:hAnsiTheme="minorEastAsia" w:hint="eastAsia"/>
          <w:szCs w:val="24"/>
        </w:rPr>
        <w:t>能力</w:t>
      </w:r>
      <w:r w:rsidR="00E10E0B">
        <w:rPr>
          <w:rFonts w:asciiTheme="minorEastAsia" w:hAnsiTheme="minorEastAsia" w:hint="eastAsia"/>
          <w:szCs w:val="24"/>
          <w:lang w:eastAsia="zh-HK"/>
        </w:rPr>
        <w:t>作出清晰的申報</w:t>
      </w:r>
      <w:r w:rsidR="00E64811" w:rsidRPr="00E64811">
        <w:rPr>
          <w:rFonts w:asciiTheme="minorEastAsia" w:hAnsiTheme="minorEastAsia" w:hint="eastAsia"/>
          <w:szCs w:val="24"/>
          <w:lang w:eastAsia="zh-HK"/>
        </w:rPr>
        <w:t>，</w:t>
      </w:r>
      <w:r w:rsidR="006263F4">
        <w:rPr>
          <w:rFonts w:asciiTheme="minorEastAsia" w:hAnsiTheme="minorEastAsia" w:hint="eastAsia"/>
          <w:szCs w:val="24"/>
        </w:rPr>
        <w:t>同時要</w:t>
      </w:r>
      <w:proofErr w:type="gramStart"/>
      <w:r w:rsidR="006263F4">
        <w:rPr>
          <w:rFonts w:asciiTheme="minorEastAsia" w:hAnsiTheme="minorEastAsia" w:hint="eastAsia"/>
          <w:szCs w:val="24"/>
        </w:rPr>
        <w:t>審查工散工</w:t>
      </w:r>
      <w:proofErr w:type="gramEnd"/>
      <w:r w:rsidR="006263F4">
        <w:rPr>
          <w:rFonts w:asciiTheme="minorEastAsia" w:hAnsiTheme="minorEastAsia" w:hint="eastAsia"/>
          <w:szCs w:val="24"/>
        </w:rPr>
        <w:t>過去一年工時及準確地點，造成行政費大增。</w:t>
      </w:r>
    </w:p>
    <w:p w:rsidR="00175D36" w:rsidRDefault="005D4968" w:rsidP="001C5011">
      <w:pPr>
        <w:spacing w:line="276" w:lineRule="auto"/>
        <w:ind w:firstLineChars="200" w:firstLine="480"/>
        <w:jc w:val="both"/>
        <w:rPr>
          <w:rFonts w:asciiTheme="minorEastAsia" w:hAnsiTheme="minorEastAsia"/>
          <w:szCs w:val="24"/>
          <w:lang w:eastAsia="zh-HK"/>
        </w:rPr>
      </w:pPr>
      <w:r w:rsidRPr="005D4968">
        <w:rPr>
          <w:rFonts w:asciiTheme="minorEastAsia" w:hAnsiTheme="minorEastAsia"/>
        </w:rPr>
        <w:t>2014-2015年度</w:t>
      </w:r>
      <w:r>
        <w:rPr>
          <w:rFonts w:asciiTheme="minorEastAsia" w:hAnsiTheme="minorEastAsia" w:hint="eastAsia"/>
          <w:lang w:eastAsia="zh-HK"/>
        </w:rPr>
        <w:t>，</w:t>
      </w:r>
      <w:r w:rsidRPr="005D4968">
        <w:rPr>
          <w:rFonts w:asciiTheme="minorEastAsia" w:hAnsiTheme="minorEastAsia" w:hint="eastAsia"/>
          <w:lang w:eastAsia="zh-HK"/>
        </w:rPr>
        <w:t>財務委員會</w:t>
      </w:r>
      <w:r>
        <w:rPr>
          <w:rFonts w:asciiTheme="minorEastAsia" w:hAnsiTheme="minorEastAsia" w:hint="eastAsia"/>
          <w:lang w:eastAsia="zh-HK"/>
        </w:rPr>
        <w:t>批出</w:t>
      </w:r>
      <w:r w:rsidRPr="005D4968">
        <w:rPr>
          <w:rFonts w:asciiTheme="minorEastAsia" w:hAnsiTheme="minorEastAsia"/>
        </w:rPr>
        <w:t>約3億9</w:t>
      </w:r>
      <w:r w:rsidR="00B517D4">
        <w:rPr>
          <w:rFonts w:asciiTheme="minorEastAsia" w:hAnsiTheme="minorEastAsia"/>
        </w:rPr>
        <w:t>，</w:t>
      </w:r>
      <w:r w:rsidRPr="005D4968">
        <w:rPr>
          <w:rFonts w:asciiTheme="minorEastAsia" w:hAnsiTheme="minorEastAsia"/>
        </w:rPr>
        <w:t>800萬元預留作行政費，包括職員費用及運作開支，即約</w:t>
      </w:r>
      <w:proofErr w:type="gramStart"/>
      <w:r w:rsidRPr="005D4968">
        <w:rPr>
          <w:rFonts w:asciiTheme="minorEastAsia" w:hAnsiTheme="minorEastAsia"/>
        </w:rPr>
        <w:t>佔</w:t>
      </w:r>
      <w:proofErr w:type="gramEnd"/>
      <w:r w:rsidRPr="005D4968">
        <w:rPr>
          <w:rFonts w:asciiTheme="minorEastAsia" w:hAnsiTheme="minorEastAsia"/>
        </w:rPr>
        <w:t>承擔額的8%。2013-2014年度的行政費用約為6</w:t>
      </w:r>
      <w:r w:rsidR="00B517D4">
        <w:rPr>
          <w:rFonts w:asciiTheme="minorEastAsia" w:hAnsiTheme="minorEastAsia"/>
        </w:rPr>
        <w:t>，</w:t>
      </w:r>
      <w:r w:rsidRPr="005D4968">
        <w:rPr>
          <w:rFonts w:asciiTheme="minorEastAsia" w:hAnsiTheme="minorEastAsia"/>
        </w:rPr>
        <w:t>400萬元，而 2013-2014年度(截至2013年11月底)的行政費用則為5</w:t>
      </w:r>
      <w:r w:rsidR="00B517D4">
        <w:rPr>
          <w:rFonts w:asciiTheme="minorEastAsia" w:hAnsiTheme="minorEastAsia"/>
        </w:rPr>
        <w:t>，</w:t>
      </w:r>
      <w:r w:rsidRPr="005D4968">
        <w:rPr>
          <w:rFonts w:asciiTheme="minorEastAsia" w:hAnsiTheme="minorEastAsia"/>
        </w:rPr>
        <w:t>300萬</w:t>
      </w:r>
      <w:r w:rsidRPr="005D4968">
        <w:rPr>
          <w:rFonts w:asciiTheme="minorEastAsia" w:hAnsiTheme="minorEastAsia" w:cs="新細明體" w:hint="eastAsia"/>
        </w:rPr>
        <w:t>元</w:t>
      </w:r>
      <w:r>
        <w:rPr>
          <w:rStyle w:val="ad"/>
          <w:rFonts w:asciiTheme="minorEastAsia" w:hAnsiTheme="minorEastAsia" w:cs="新細明體"/>
        </w:rPr>
        <w:footnoteReference w:id="7"/>
      </w:r>
      <w:r w:rsidR="00D01CA3" w:rsidRPr="005D4968">
        <w:rPr>
          <w:rFonts w:asciiTheme="minorEastAsia" w:hAnsiTheme="minorEastAsia" w:hint="eastAsia"/>
          <w:szCs w:val="24"/>
          <w:lang w:eastAsia="zh-HK"/>
        </w:rPr>
        <w:t>，令人質疑</w:t>
      </w:r>
      <w:r w:rsidR="00175D36" w:rsidRPr="005D4968">
        <w:rPr>
          <w:rFonts w:asciiTheme="minorEastAsia" w:hAnsiTheme="minorEastAsia" w:hint="eastAsia"/>
          <w:szCs w:val="24"/>
          <w:lang w:eastAsia="zh-HK"/>
        </w:rPr>
        <w:t>交津計劃真正目的是</w:t>
      </w:r>
      <w:proofErr w:type="gramStart"/>
      <w:r w:rsidR="00175D36" w:rsidRPr="005D4968">
        <w:rPr>
          <w:rFonts w:asciiTheme="minorEastAsia" w:hAnsiTheme="minorEastAsia" w:hint="eastAsia"/>
          <w:szCs w:val="24"/>
          <w:lang w:eastAsia="zh-HK"/>
        </w:rPr>
        <w:t>”</w:t>
      </w:r>
      <w:proofErr w:type="gramEnd"/>
      <w:r w:rsidR="00175D36" w:rsidRPr="00175D36">
        <w:rPr>
          <w:rFonts w:asciiTheme="minorEastAsia" w:hAnsiTheme="minorEastAsia" w:hint="eastAsia"/>
          <w:szCs w:val="24"/>
          <w:lang w:eastAsia="zh-HK"/>
        </w:rPr>
        <w:t>以津貼鼓勵就業</w:t>
      </w:r>
      <w:proofErr w:type="gramStart"/>
      <w:r w:rsidR="00175D36" w:rsidRPr="00175D36">
        <w:rPr>
          <w:rFonts w:asciiTheme="minorEastAsia" w:hAnsiTheme="minorEastAsia" w:hint="eastAsia"/>
          <w:szCs w:val="24"/>
          <w:lang w:eastAsia="zh-HK"/>
        </w:rPr>
        <w:t>”</w:t>
      </w:r>
      <w:proofErr w:type="gramEnd"/>
      <w:r w:rsidR="00175D36" w:rsidRPr="00175D36">
        <w:rPr>
          <w:rFonts w:asciiTheme="minorEastAsia" w:hAnsiTheme="minorEastAsia" w:hint="eastAsia"/>
          <w:szCs w:val="24"/>
          <w:lang w:eastAsia="zh-HK"/>
        </w:rPr>
        <w:t>? 抑或以津貼</w:t>
      </w:r>
      <w:r w:rsidR="00D01CA3" w:rsidRPr="00D01CA3">
        <w:rPr>
          <w:rFonts w:asciiTheme="minorEastAsia" w:hAnsiTheme="minorEastAsia" w:hint="eastAsia"/>
          <w:szCs w:val="24"/>
          <w:lang w:eastAsia="zh-HK"/>
        </w:rPr>
        <w:t>鼓勵</w:t>
      </w:r>
      <w:r w:rsidR="00175D36" w:rsidRPr="00175D36">
        <w:rPr>
          <w:rFonts w:asciiTheme="minorEastAsia" w:hAnsiTheme="minorEastAsia" w:hint="eastAsia"/>
          <w:szCs w:val="24"/>
          <w:lang w:eastAsia="zh-HK"/>
        </w:rPr>
        <w:t>勞工</w:t>
      </w:r>
      <w:r w:rsidR="00D01CA3">
        <w:rPr>
          <w:rFonts w:asciiTheme="minorEastAsia" w:hAnsiTheme="minorEastAsia" w:hint="eastAsia"/>
          <w:szCs w:val="24"/>
          <w:lang w:eastAsia="zh-HK"/>
        </w:rPr>
        <w:t>處增加</w:t>
      </w:r>
      <w:r w:rsidR="00175D36" w:rsidRPr="00175D36">
        <w:rPr>
          <w:rFonts w:asciiTheme="minorEastAsia" w:hAnsiTheme="minorEastAsia" w:hint="eastAsia"/>
          <w:szCs w:val="24"/>
          <w:lang w:eastAsia="zh-HK"/>
        </w:rPr>
        <w:t>職員</w:t>
      </w:r>
      <w:r w:rsidR="00D01CA3">
        <w:rPr>
          <w:rFonts w:asciiTheme="minorEastAsia" w:hAnsiTheme="minorEastAsia" w:hint="eastAsia"/>
          <w:szCs w:val="24"/>
          <w:lang w:eastAsia="zh-HK"/>
        </w:rPr>
        <w:t>?</w:t>
      </w:r>
      <w:r w:rsidR="006263F4" w:rsidRPr="00E12941">
        <w:rPr>
          <w:rFonts w:asciiTheme="minorEastAsia" w:hAnsiTheme="minorEastAsia"/>
          <w:szCs w:val="24"/>
          <w:lang w:eastAsia="zh-HK"/>
        </w:rPr>
        <w:t xml:space="preserve"> </w:t>
      </w:r>
    </w:p>
    <w:p w:rsidR="00543C2F" w:rsidRPr="006263F4" w:rsidRDefault="00543C2F" w:rsidP="004D6B14">
      <w:pPr>
        <w:spacing w:line="276" w:lineRule="auto"/>
        <w:rPr>
          <w:rFonts w:ascii="華康儷粗黑" w:eastAsia="華康儷粗黑" w:hAnsiTheme="minorEastAsia" w:cs="Times New Roman"/>
          <w:b/>
          <w:szCs w:val="24"/>
          <w:u w:val="single"/>
        </w:rPr>
      </w:pPr>
      <w:r w:rsidRPr="006263F4">
        <w:rPr>
          <w:rFonts w:ascii="華康儷粗黑" w:eastAsia="華康儷粗黑" w:hAnsiTheme="minorEastAsia" w:cs="Times New Roman" w:hint="eastAsia"/>
          <w:b/>
          <w:szCs w:val="24"/>
          <w:u w:val="single"/>
        </w:rPr>
        <w:t>拖延</w:t>
      </w:r>
      <w:r w:rsidR="008A4D68" w:rsidRPr="006263F4">
        <w:rPr>
          <w:rFonts w:ascii="華康儷粗黑" w:eastAsia="華康儷粗黑" w:hAnsiTheme="minorEastAsia" w:cs="Times New Roman" w:hint="eastAsia"/>
          <w:b/>
          <w:szCs w:val="24"/>
          <w:u w:val="single"/>
        </w:rPr>
        <w:t>公開</w:t>
      </w:r>
      <w:r w:rsidRPr="006263F4">
        <w:rPr>
          <w:rFonts w:ascii="華康儷粗黑" w:eastAsia="華康儷粗黑" w:hAnsiTheme="minorEastAsia" w:cs="Times New Roman" w:hint="eastAsia"/>
          <w:b/>
          <w:szCs w:val="24"/>
          <w:u w:val="single"/>
        </w:rPr>
        <w:t>檢討交津計劃</w:t>
      </w:r>
      <w:r w:rsidR="008A4D68" w:rsidRPr="006263F4">
        <w:rPr>
          <w:rFonts w:ascii="華康儷粗黑" w:eastAsia="華康儷粗黑" w:hAnsiTheme="minorEastAsia" w:cs="Times New Roman" w:hint="eastAsia"/>
          <w:b/>
          <w:szCs w:val="24"/>
          <w:u w:val="single"/>
        </w:rPr>
        <w:t>報告</w:t>
      </w:r>
    </w:p>
    <w:p w:rsidR="00543C2F" w:rsidRPr="00081A95" w:rsidRDefault="008A4D68" w:rsidP="004D6B14">
      <w:pPr>
        <w:spacing w:line="276" w:lineRule="auto"/>
        <w:rPr>
          <w:rFonts w:asciiTheme="minorEastAsia" w:hAnsiTheme="minorEastAsia" w:cs="Times New Roman"/>
          <w:szCs w:val="24"/>
        </w:rPr>
      </w:pPr>
      <w:r w:rsidRPr="00081A95">
        <w:rPr>
          <w:rFonts w:asciiTheme="minorEastAsia" w:hAnsiTheme="minorEastAsia" w:cs="Times New Roman" w:hint="eastAsia"/>
          <w:szCs w:val="24"/>
        </w:rPr>
        <w:t xml:space="preserve">  </w:t>
      </w:r>
      <w:r w:rsidR="00543C2F" w:rsidRPr="00081A95">
        <w:rPr>
          <w:rFonts w:asciiTheme="minorEastAsia" w:hAnsiTheme="minorEastAsia" w:cs="Times New Roman" w:hint="eastAsia"/>
          <w:szCs w:val="24"/>
        </w:rPr>
        <w:t>勞工處至今依然未有</w:t>
      </w:r>
      <w:r w:rsidR="00B445FE">
        <w:rPr>
          <w:rFonts w:asciiTheme="minorEastAsia" w:hAnsiTheme="minorEastAsia" w:cs="Times New Roman" w:hint="eastAsia"/>
          <w:szCs w:val="24"/>
        </w:rPr>
        <w:t>公開</w:t>
      </w:r>
      <w:r w:rsidR="00543C2F" w:rsidRPr="00081A95">
        <w:rPr>
          <w:rFonts w:asciiTheme="minorEastAsia" w:hAnsiTheme="minorEastAsia" w:cs="Times New Roman" w:hint="eastAsia"/>
          <w:szCs w:val="24"/>
        </w:rPr>
        <w:t>計劃</w:t>
      </w:r>
      <w:r w:rsidR="00B445FE">
        <w:rPr>
          <w:rFonts w:asciiTheme="minorEastAsia" w:hAnsiTheme="minorEastAsia" w:cs="Times New Roman" w:hint="eastAsia"/>
          <w:szCs w:val="24"/>
        </w:rPr>
        <w:t>檢討進度</w:t>
      </w:r>
      <w:r w:rsidRPr="00081A95">
        <w:rPr>
          <w:rFonts w:asciiTheme="minorEastAsia" w:hAnsiTheme="minorEastAsia" w:cs="Times New Roman" w:hint="eastAsia"/>
          <w:szCs w:val="24"/>
        </w:rPr>
        <w:t>，亦</w:t>
      </w:r>
      <w:r w:rsidR="00D01CA3">
        <w:rPr>
          <w:rFonts w:asciiTheme="minorEastAsia" w:hAnsiTheme="minorEastAsia" w:cs="Times New Roman" w:hint="eastAsia"/>
          <w:szCs w:val="24"/>
          <w:lang w:eastAsia="zh-HK"/>
        </w:rPr>
        <w:t>從未</w:t>
      </w:r>
      <w:r w:rsidR="00B445FE">
        <w:rPr>
          <w:rFonts w:asciiTheme="minorEastAsia" w:hAnsiTheme="minorEastAsia" w:cs="Times New Roman" w:hint="eastAsia"/>
          <w:szCs w:val="24"/>
        </w:rPr>
        <w:t>就計劃</w:t>
      </w:r>
      <w:r w:rsidRPr="00081A95">
        <w:rPr>
          <w:rFonts w:asciiTheme="minorEastAsia" w:hAnsiTheme="minorEastAsia" w:cs="Times New Roman" w:hint="eastAsia"/>
          <w:szCs w:val="24"/>
        </w:rPr>
        <w:t>進行地區諮詢會，收集公眾意見。</w:t>
      </w:r>
      <w:r w:rsidR="00D01CA3" w:rsidRPr="00D01CA3">
        <w:rPr>
          <w:rFonts w:asciiTheme="minorEastAsia" w:hAnsiTheme="minorEastAsia" w:cs="Times New Roman" w:hint="eastAsia"/>
          <w:szCs w:val="24"/>
        </w:rPr>
        <w:t>勞工及福利</w:t>
      </w:r>
      <w:proofErr w:type="gramStart"/>
      <w:r w:rsidR="00D01CA3" w:rsidRPr="00D01CA3">
        <w:rPr>
          <w:rFonts w:asciiTheme="minorEastAsia" w:hAnsiTheme="minorEastAsia" w:cs="Times New Roman" w:hint="eastAsia"/>
          <w:szCs w:val="24"/>
        </w:rPr>
        <w:t>局</w:t>
      </w:r>
      <w:proofErr w:type="gramEnd"/>
      <w:r w:rsidR="00D01CA3" w:rsidRPr="00D01CA3">
        <w:rPr>
          <w:rFonts w:asciiTheme="minorEastAsia" w:hAnsiTheme="minorEastAsia" w:cs="Times New Roman" w:hint="eastAsia"/>
          <w:szCs w:val="24"/>
        </w:rPr>
        <w:t>局長張建宗</w:t>
      </w:r>
      <w:r w:rsidRPr="00081A95">
        <w:rPr>
          <w:rFonts w:asciiTheme="minorEastAsia" w:hAnsiTheme="minorEastAsia" w:cs="Times New Roman" w:hint="eastAsia"/>
          <w:szCs w:val="24"/>
        </w:rPr>
        <w:t>多次向外界強調</w:t>
      </w:r>
      <w:r w:rsidR="00953E9A" w:rsidRPr="00953E9A">
        <w:rPr>
          <w:rFonts w:asciiTheme="minorEastAsia" w:hAnsiTheme="minorEastAsia" w:cs="Times New Roman" w:hint="eastAsia"/>
          <w:szCs w:val="24"/>
        </w:rPr>
        <w:t>2015年</w:t>
      </w:r>
      <w:r w:rsidR="005C7D07">
        <w:rPr>
          <w:rFonts w:asciiTheme="minorEastAsia" w:hAnsiTheme="minorEastAsia" w:cs="Times New Roman" w:hint="eastAsia"/>
          <w:szCs w:val="24"/>
        </w:rPr>
        <w:t>年尾</w:t>
      </w:r>
      <w:r w:rsidR="005C7D07" w:rsidRPr="005C7D07">
        <w:rPr>
          <w:rFonts w:asciiTheme="minorEastAsia" w:hAnsiTheme="minorEastAsia" w:cs="Times New Roman" w:hint="eastAsia"/>
          <w:szCs w:val="24"/>
        </w:rPr>
        <w:t>可</w:t>
      </w:r>
      <w:r w:rsidR="005C7D07">
        <w:rPr>
          <w:rFonts w:asciiTheme="minorEastAsia" w:hAnsiTheme="minorEastAsia" w:cs="Times New Roman" w:hint="eastAsia"/>
          <w:szCs w:val="24"/>
        </w:rPr>
        <w:t>望完成</w:t>
      </w:r>
      <w:r w:rsidR="00D01CA3" w:rsidRPr="00D01CA3">
        <w:rPr>
          <w:rFonts w:asciiTheme="minorEastAsia" w:hAnsiTheme="minorEastAsia" w:cs="Times New Roman" w:hint="eastAsia"/>
          <w:szCs w:val="24"/>
        </w:rPr>
        <w:t>檢討</w:t>
      </w:r>
      <w:r w:rsidR="005C7D07">
        <w:rPr>
          <w:rFonts w:asciiTheme="minorEastAsia" w:hAnsiTheme="minorEastAsia" w:cs="Times New Roman" w:hint="eastAsia"/>
          <w:szCs w:val="24"/>
        </w:rPr>
        <w:t>，卻一直</w:t>
      </w:r>
      <w:r w:rsidRPr="00081A95">
        <w:rPr>
          <w:rFonts w:asciiTheme="minorEastAsia" w:hAnsiTheme="minorEastAsia" w:cs="Times New Roman" w:hint="eastAsia"/>
          <w:szCs w:val="24"/>
        </w:rPr>
        <w:t>沒有落實完成檢討日期及交代檢討的結果，</w:t>
      </w:r>
      <w:r w:rsidR="00543C2F" w:rsidRPr="00081A95">
        <w:rPr>
          <w:rFonts w:asciiTheme="minorEastAsia" w:hAnsiTheme="minorEastAsia" w:cs="Times New Roman" w:hint="eastAsia"/>
          <w:szCs w:val="24"/>
        </w:rPr>
        <w:t>本會對此舉感到極度遺憾。</w:t>
      </w:r>
    </w:p>
    <w:p w:rsidR="00646AFB" w:rsidRPr="002D1756" w:rsidRDefault="00646AFB" w:rsidP="004D6B14">
      <w:pPr>
        <w:spacing w:line="276" w:lineRule="auto"/>
        <w:jc w:val="both"/>
        <w:rPr>
          <w:rFonts w:ascii="華康儷粗黑" w:eastAsia="華康儷粗黑" w:hAnsi="新細明體" w:cs="細明體"/>
          <w:b/>
          <w:szCs w:val="24"/>
          <w:u w:val="single"/>
        </w:rPr>
      </w:pPr>
      <w:proofErr w:type="gramStart"/>
      <w:r w:rsidRPr="002D1756">
        <w:rPr>
          <w:rFonts w:ascii="華康儷粗黑" w:eastAsia="華康儷粗黑" w:hAnsi="新細明體" w:cs="細明體" w:hint="eastAsia"/>
          <w:b/>
          <w:szCs w:val="24"/>
          <w:u w:val="single"/>
        </w:rPr>
        <w:t>社協及</w:t>
      </w:r>
      <w:proofErr w:type="gramEnd"/>
      <w:r w:rsidRPr="002D1756">
        <w:rPr>
          <w:rFonts w:ascii="華康儷粗黑" w:eastAsia="華康儷粗黑" w:hAnsi="新細明體" w:cs="細明體" w:hint="eastAsia"/>
          <w:b/>
          <w:szCs w:val="24"/>
          <w:u w:val="single"/>
        </w:rPr>
        <w:t>基層勞工有下列要求：</w:t>
      </w:r>
    </w:p>
    <w:p w:rsidR="00646AFB" w:rsidRPr="00646AFB" w:rsidRDefault="00646AFB" w:rsidP="004D6B14">
      <w:pPr>
        <w:numPr>
          <w:ilvl w:val="0"/>
          <w:numId w:val="2"/>
        </w:numPr>
        <w:spacing w:line="276" w:lineRule="auto"/>
        <w:jc w:val="both"/>
        <w:rPr>
          <w:rFonts w:ascii="新細明體" w:eastAsia="新細明體" w:hAnsi="新細明體" w:cs="細明體"/>
          <w:b/>
          <w:szCs w:val="24"/>
        </w:rPr>
      </w:pPr>
      <w:r w:rsidRPr="00646AFB">
        <w:rPr>
          <w:rFonts w:ascii="新細明體" w:eastAsia="新細明體" w:hAnsi="新細明體" w:cs="細明體" w:hint="eastAsia"/>
          <w:szCs w:val="24"/>
        </w:rPr>
        <w:t>立刻調高</w:t>
      </w:r>
      <w:r>
        <w:rPr>
          <w:rFonts w:ascii="新細明體" w:eastAsia="新細明體" w:hAnsi="新細明體" w:cs="細明體" w:hint="eastAsia"/>
          <w:szCs w:val="24"/>
        </w:rPr>
        <w:t>申請</w:t>
      </w:r>
      <w:r w:rsidRPr="00646AFB">
        <w:rPr>
          <w:rFonts w:ascii="新細明體" w:eastAsia="新細明體" w:hAnsi="新細明體" w:cs="細明體" w:hint="eastAsia"/>
          <w:szCs w:val="24"/>
        </w:rPr>
        <w:t>「</w:t>
      </w:r>
      <w:r w:rsidRPr="00646AFB">
        <w:rPr>
          <w:rFonts w:ascii="新細明體" w:eastAsia="新細明體" w:hAnsi="新細明體" w:cs="Times New Roman" w:hint="eastAsia"/>
          <w:szCs w:val="24"/>
        </w:rPr>
        <w:t>交通津貼入息</w:t>
      </w:r>
      <w:r>
        <w:rPr>
          <w:rFonts w:ascii="新細明體" w:eastAsia="新細明體" w:hAnsi="新細明體" w:cs="Times New Roman" w:hint="eastAsia"/>
          <w:szCs w:val="24"/>
        </w:rPr>
        <w:t>限額</w:t>
      </w:r>
      <w:r w:rsidRPr="00646AFB">
        <w:rPr>
          <w:rFonts w:ascii="新細明體" w:eastAsia="新細明體" w:hAnsi="新細明體" w:cs="細明體" w:hint="eastAsia"/>
          <w:szCs w:val="24"/>
        </w:rPr>
        <w:t>」至「關愛基金水平」；</w:t>
      </w:r>
    </w:p>
    <w:p w:rsidR="00646AFB" w:rsidRPr="00646AFB" w:rsidRDefault="00646AFB" w:rsidP="004D6B14">
      <w:pPr>
        <w:numPr>
          <w:ilvl w:val="0"/>
          <w:numId w:val="2"/>
        </w:numPr>
        <w:spacing w:line="276" w:lineRule="auto"/>
        <w:jc w:val="both"/>
        <w:rPr>
          <w:rFonts w:ascii="新細明體" w:eastAsia="新細明體" w:hAnsi="新細明體" w:cs="細明體"/>
          <w:b/>
          <w:szCs w:val="24"/>
        </w:rPr>
      </w:pPr>
      <w:r>
        <w:rPr>
          <w:rFonts w:ascii="新細明體" w:eastAsia="新細明體" w:hAnsi="新細明體" w:cs="細明體" w:hint="eastAsia"/>
          <w:szCs w:val="24"/>
        </w:rPr>
        <w:t>全面</w:t>
      </w:r>
      <w:r w:rsidRPr="00646AFB">
        <w:rPr>
          <w:rFonts w:ascii="新細明體" w:eastAsia="新細明體" w:hAnsi="新細明體" w:cs="細明體" w:hint="eastAsia"/>
          <w:szCs w:val="24"/>
        </w:rPr>
        <w:t>取消資產審查；</w:t>
      </w:r>
    </w:p>
    <w:p w:rsidR="00E64811" w:rsidRDefault="004D6B14" w:rsidP="00E64811">
      <w:pPr>
        <w:numPr>
          <w:ilvl w:val="0"/>
          <w:numId w:val="2"/>
        </w:numPr>
        <w:spacing w:line="276" w:lineRule="auto"/>
        <w:jc w:val="both"/>
        <w:rPr>
          <w:rFonts w:ascii="新細明體" w:eastAsia="新細明體" w:hAnsi="新細明體" w:cs="細明體"/>
          <w:szCs w:val="24"/>
        </w:rPr>
      </w:pPr>
      <w:r w:rsidRPr="004D6B14">
        <w:rPr>
          <w:rFonts w:ascii="新細明體" w:eastAsia="新細明體" w:hAnsi="新細明體" w:cs="細明體" w:hint="eastAsia"/>
          <w:szCs w:val="24"/>
        </w:rPr>
        <w:t>仿效關愛基金簡化重覆申請程序</w:t>
      </w:r>
      <w:r w:rsidR="00B517D4">
        <w:rPr>
          <w:rFonts w:ascii="新細明體" w:eastAsia="新細明體" w:hAnsi="新細明體" w:cs="細明體" w:hint="eastAsia"/>
          <w:szCs w:val="24"/>
        </w:rPr>
        <w:t>，</w:t>
      </w:r>
      <w:r w:rsidRPr="004D6B14">
        <w:rPr>
          <w:rFonts w:ascii="新細明體" w:eastAsia="新細明體" w:hAnsi="新細明體" w:cs="細明體" w:hint="eastAsia"/>
          <w:szCs w:val="24"/>
        </w:rPr>
        <w:t xml:space="preserve"> 每12個月寄出簡化版再次申請同意書</w:t>
      </w:r>
      <w:r>
        <w:rPr>
          <w:rFonts w:ascii="新細明體" w:eastAsia="新細明體" w:hAnsi="新細明體" w:cs="細明體" w:hint="eastAsia"/>
          <w:szCs w:val="24"/>
        </w:rPr>
        <w:t>，</w:t>
      </w:r>
      <w:r w:rsidR="005A3B83" w:rsidRPr="005A3B83">
        <w:rPr>
          <w:rFonts w:ascii="新細明體" w:eastAsia="新細明體" w:hAnsi="新細明體" w:cs="細明體" w:hint="eastAsia"/>
          <w:szCs w:val="24"/>
        </w:rPr>
        <w:t>減低行政程序；</w:t>
      </w:r>
    </w:p>
    <w:p w:rsidR="00E64811" w:rsidRDefault="00E64811" w:rsidP="00E64811">
      <w:pPr>
        <w:numPr>
          <w:ilvl w:val="0"/>
          <w:numId w:val="2"/>
        </w:numPr>
        <w:spacing w:line="276" w:lineRule="auto"/>
        <w:jc w:val="both"/>
        <w:rPr>
          <w:rFonts w:ascii="新細明體" w:eastAsia="新細明體" w:hAnsi="新細明體" w:cs="細明體"/>
          <w:szCs w:val="24"/>
        </w:rPr>
      </w:pPr>
      <w:proofErr w:type="gramStart"/>
      <w:r w:rsidRPr="00E64811">
        <w:rPr>
          <w:rFonts w:ascii="新細明體" w:eastAsia="新細明體" w:hAnsi="新細明體" w:cs="細明體" w:hint="eastAsia"/>
          <w:szCs w:val="24"/>
        </w:rPr>
        <w:t>社協建議勞福局</w:t>
      </w:r>
      <w:proofErr w:type="gramEnd"/>
      <w:r w:rsidRPr="00E64811">
        <w:rPr>
          <w:rFonts w:ascii="新細明體" w:eastAsia="新細明體" w:hAnsi="新細明體" w:cs="細明體" w:hint="eastAsia"/>
          <w:szCs w:val="24"/>
        </w:rPr>
        <w:t>應考慮</w:t>
      </w:r>
      <w:proofErr w:type="gramStart"/>
      <w:r w:rsidRPr="00E64811">
        <w:rPr>
          <w:rFonts w:ascii="新細明體" w:eastAsia="新細明體" w:hAnsi="新細明體" w:cs="細明體" w:hint="eastAsia"/>
          <w:szCs w:val="24"/>
        </w:rPr>
        <w:t>調整已滯後</w:t>
      </w:r>
      <w:proofErr w:type="gramEnd"/>
      <w:r w:rsidRPr="00E64811">
        <w:rPr>
          <w:rFonts w:ascii="新細明體" w:eastAsia="新細明體" w:hAnsi="新細明體" w:cs="細明體" w:hint="eastAsia"/>
          <w:szCs w:val="24"/>
        </w:rPr>
        <w:t>的入息限額達至少達至N無人士申請的「較合理入息限額」，局方可考慮現有</w:t>
      </w:r>
      <w:proofErr w:type="gramStart"/>
      <w:r w:rsidRPr="00E64811">
        <w:rPr>
          <w:rFonts w:ascii="新細明體" w:eastAsia="新細明體" w:hAnsi="新細明體" w:cs="細明體" w:hint="eastAsia"/>
          <w:szCs w:val="24"/>
        </w:rPr>
        <w:t>正輪候公</w:t>
      </w:r>
      <w:proofErr w:type="gramEnd"/>
      <w:r w:rsidRPr="00E64811">
        <w:rPr>
          <w:rFonts w:ascii="新細明體" w:eastAsia="新細明體" w:hAnsi="新細明體" w:cs="細明體" w:hint="eastAsia"/>
          <w:szCs w:val="24"/>
        </w:rPr>
        <w:t>屋戶人士直接採用房屋署審查結果即可申請，讓</w:t>
      </w:r>
      <w:proofErr w:type="gramStart"/>
      <w:r w:rsidRPr="00E64811">
        <w:rPr>
          <w:rFonts w:ascii="新細明體" w:eastAsia="新細明體" w:hAnsi="新細明體" w:cs="細明體" w:hint="eastAsia"/>
          <w:szCs w:val="24"/>
        </w:rPr>
        <w:t>勞工處減省</w:t>
      </w:r>
      <w:proofErr w:type="gramEnd"/>
      <w:r w:rsidRPr="00E64811">
        <w:rPr>
          <w:rFonts w:ascii="新細明體" w:eastAsia="新細明體" w:hAnsi="新細明體" w:cs="細明體" w:hint="eastAsia"/>
          <w:szCs w:val="24"/>
        </w:rPr>
        <w:t>行政時間和資源，令交津能吸引更多有需要人士</w:t>
      </w:r>
      <w:bookmarkStart w:id="0" w:name="_GoBack"/>
      <w:bookmarkEnd w:id="0"/>
      <w:r w:rsidRPr="00E64811">
        <w:rPr>
          <w:rFonts w:ascii="新細明體" w:eastAsia="新細明體" w:hAnsi="新細明體" w:cs="細明體" w:hint="eastAsia"/>
          <w:szCs w:val="24"/>
        </w:rPr>
        <w:t>參加。</w:t>
      </w:r>
    </w:p>
    <w:p w:rsidR="005A3B83" w:rsidRDefault="00E64811" w:rsidP="00E10E0B">
      <w:pPr>
        <w:numPr>
          <w:ilvl w:val="0"/>
          <w:numId w:val="2"/>
        </w:numPr>
        <w:spacing w:line="276" w:lineRule="auto"/>
        <w:jc w:val="both"/>
        <w:rPr>
          <w:rFonts w:ascii="新細明體" w:eastAsia="新細明體" w:hAnsi="新細明體" w:cs="細明體"/>
          <w:szCs w:val="24"/>
        </w:rPr>
      </w:pPr>
      <w:r w:rsidRPr="00E64811">
        <w:rPr>
          <w:rFonts w:ascii="新細明體" w:eastAsia="新細明體" w:hAnsi="新細明體" w:cs="細明體" w:hint="eastAsia"/>
          <w:szCs w:val="24"/>
        </w:rPr>
        <w:t>本港</w:t>
      </w:r>
      <w:r w:rsidR="00FA3ED3">
        <w:rPr>
          <w:rFonts w:ascii="新細明體" w:eastAsia="新細明體" w:hAnsi="新細明體" w:cs="細明體" w:hint="eastAsia"/>
          <w:szCs w:val="24"/>
        </w:rPr>
        <w:t>2014</w:t>
      </w:r>
      <w:r w:rsidRPr="00E64811">
        <w:rPr>
          <w:rFonts w:ascii="新細明體" w:eastAsia="新細明體" w:hAnsi="新細明體" w:cs="細明體" w:hint="eastAsia"/>
          <w:szCs w:val="24"/>
        </w:rPr>
        <w:t>年貧窮人口達96萬人，其</w:t>
      </w:r>
      <w:proofErr w:type="gramStart"/>
      <w:r w:rsidRPr="00E64811">
        <w:rPr>
          <w:rFonts w:ascii="新細明體" w:eastAsia="新細明體" w:hAnsi="新細明體" w:cs="細明體" w:hint="eastAsia"/>
          <w:szCs w:val="24"/>
        </w:rPr>
        <w:t>中非綜援在職</w:t>
      </w:r>
      <w:proofErr w:type="gramEnd"/>
      <w:r w:rsidRPr="00E64811">
        <w:rPr>
          <w:rFonts w:ascii="新細明體" w:eastAsia="新細明體" w:hAnsi="新細明體" w:cs="細明體" w:hint="eastAsia"/>
          <w:szCs w:val="24"/>
        </w:rPr>
        <w:t>家庭貧窮戶有13.8萬戶，約 46萬人</w:t>
      </w:r>
      <w:r w:rsidR="00937E94">
        <w:rPr>
          <w:rStyle w:val="ad"/>
          <w:rFonts w:ascii="新細明體" w:eastAsia="新細明體" w:hAnsi="新細明體" w:cs="細明體"/>
          <w:szCs w:val="24"/>
        </w:rPr>
        <w:footnoteReference w:id="8"/>
      </w:r>
      <w:r w:rsidRPr="00E64811">
        <w:rPr>
          <w:rFonts w:ascii="新細明體" w:eastAsia="新細明體" w:hAnsi="新細明體" w:cs="細明體" w:hint="eastAsia"/>
          <w:szCs w:val="24"/>
        </w:rPr>
        <w:t>，</w:t>
      </w:r>
      <w:r w:rsidR="00E549C5">
        <w:rPr>
          <w:rFonts w:ascii="新細明體" w:eastAsia="新細明體" w:hAnsi="新細明體" w:cs="細明體" w:hint="eastAsia"/>
          <w:szCs w:val="24"/>
        </w:rPr>
        <w:t>2016年</w:t>
      </w:r>
      <w:r w:rsidR="00FA3ED3">
        <w:rPr>
          <w:rFonts w:ascii="新細明體" w:eastAsia="新細明體" w:hAnsi="新細明體" w:cs="細明體" w:hint="eastAsia"/>
          <w:szCs w:val="24"/>
        </w:rPr>
        <w:t>「低收入在職家庭津貼」</w:t>
      </w:r>
      <w:r w:rsidR="00E549C5">
        <w:rPr>
          <w:rFonts w:ascii="新細明體" w:eastAsia="新細明體" w:hAnsi="新細明體" w:cs="細明體" w:hint="eastAsia"/>
          <w:szCs w:val="24"/>
        </w:rPr>
        <w:t>(</w:t>
      </w:r>
      <w:proofErr w:type="gramStart"/>
      <w:r w:rsidR="00E549C5">
        <w:rPr>
          <w:rFonts w:ascii="新細明體" w:eastAsia="新細明體" w:hAnsi="新細明體" w:cs="細明體" w:hint="eastAsia"/>
          <w:szCs w:val="24"/>
        </w:rPr>
        <w:t>低津</w:t>
      </w:r>
      <w:proofErr w:type="gramEnd"/>
      <w:r w:rsidR="00E549C5">
        <w:rPr>
          <w:rFonts w:ascii="新細明體" w:eastAsia="新細明體" w:hAnsi="新細明體" w:cs="細明體" w:hint="eastAsia"/>
          <w:szCs w:val="24"/>
        </w:rPr>
        <w:t>)</w:t>
      </w:r>
      <w:r w:rsidR="00FA3ED3">
        <w:rPr>
          <w:rFonts w:ascii="新細明體" w:eastAsia="新細明體" w:hAnsi="新細明體" w:cs="細明體" w:hint="eastAsia"/>
          <w:szCs w:val="24"/>
        </w:rPr>
        <w:t>入息限額又低於交通津貼入息限額</w:t>
      </w:r>
      <w:r w:rsidR="00B517D4">
        <w:rPr>
          <w:rFonts w:ascii="新細明體" w:eastAsia="新細明體" w:hAnsi="新細明體" w:cs="細明體" w:hint="eastAsia"/>
          <w:szCs w:val="24"/>
        </w:rPr>
        <w:t>，</w:t>
      </w:r>
      <w:r w:rsidR="00FA3ED3">
        <w:rPr>
          <w:rFonts w:ascii="新細明體" w:eastAsia="新細明體" w:hAnsi="新細明體" w:cs="細明體" w:hint="eastAsia"/>
          <w:szCs w:val="24"/>
        </w:rPr>
        <w:t xml:space="preserve"> 因貧窮</w:t>
      </w:r>
      <w:r w:rsidR="00E549C5">
        <w:rPr>
          <w:rFonts w:ascii="新細明體" w:eastAsia="新細明體" w:hAnsi="新細明體" w:cs="細明體" w:hint="eastAsia"/>
          <w:szCs w:val="24"/>
        </w:rPr>
        <w:t>線界定為工資</w:t>
      </w:r>
      <w:r w:rsidRPr="00E64811">
        <w:rPr>
          <w:rFonts w:ascii="新細明體" w:eastAsia="新細明體" w:hAnsi="新細明體" w:cs="細明體" w:hint="eastAsia"/>
          <w:szCs w:val="24"/>
        </w:rPr>
        <w:t>中位數六成，</w:t>
      </w:r>
      <w:r w:rsidR="00E549C5">
        <w:rPr>
          <w:rFonts w:ascii="新細明體" w:eastAsia="新細明體" w:hAnsi="新細明體" w:cs="細明體" w:hint="eastAsia"/>
          <w:szCs w:val="24"/>
        </w:rPr>
        <w:t>再次忽略貴租金問題</w:t>
      </w:r>
      <w:r w:rsidRPr="00E64811">
        <w:rPr>
          <w:rFonts w:ascii="新細明體" w:eastAsia="新細明體" w:hAnsi="新細明體" w:cs="細明體" w:hint="eastAsia"/>
          <w:szCs w:val="24"/>
        </w:rPr>
        <w:t>，</w:t>
      </w:r>
      <w:r w:rsidR="00E549C5">
        <w:rPr>
          <w:rFonts w:ascii="新細明體" w:eastAsia="新細明體" w:hAnsi="新細明體" w:cs="細明體" w:hint="eastAsia"/>
          <w:szCs w:val="24"/>
        </w:rPr>
        <w:t>反對此「</w:t>
      </w:r>
      <w:proofErr w:type="gramStart"/>
      <w:r w:rsidR="00E549C5">
        <w:rPr>
          <w:rFonts w:ascii="新細明體" w:eastAsia="新細明體" w:hAnsi="新細明體" w:cs="細明體" w:hint="eastAsia"/>
          <w:szCs w:val="24"/>
        </w:rPr>
        <w:t>低津</w:t>
      </w:r>
      <w:r w:rsidR="00E549C5" w:rsidRPr="00E64811">
        <w:rPr>
          <w:rFonts w:ascii="新細明體" w:eastAsia="新細明體" w:hAnsi="新細明體" w:cs="細明體" w:hint="eastAsia"/>
          <w:szCs w:val="24"/>
        </w:rPr>
        <w:t>計劃</w:t>
      </w:r>
      <w:proofErr w:type="gramEnd"/>
      <w:r w:rsidR="00E549C5">
        <w:rPr>
          <w:rFonts w:ascii="新細明體" w:eastAsia="新細明體" w:hAnsi="新細明體" w:cs="細明體" w:hint="eastAsia"/>
          <w:szCs w:val="24"/>
        </w:rPr>
        <w:t>」亦</w:t>
      </w:r>
      <w:r w:rsidRPr="00E64811">
        <w:rPr>
          <w:rFonts w:ascii="新細明體" w:eastAsia="新細明體" w:hAnsi="新細明體" w:cs="細明體" w:hint="eastAsia"/>
          <w:szCs w:val="24"/>
        </w:rPr>
        <w:t>忽視單身人士需要，</w:t>
      </w:r>
      <w:proofErr w:type="gramStart"/>
      <w:r w:rsidR="00E549C5">
        <w:rPr>
          <w:rFonts w:ascii="新細明體" w:eastAsia="新細明體" w:hAnsi="新細明體" w:cs="細明體" w:hint="eastAsia"/>
          <w:szCs w:val="24"/>
        </w:rPr>
        <w:t>社協認為</w:t>
      </w:r>
      <w:proofErr w:type="gramEnd"/>
      <w:r w:rsidR="00E549C5">
        <w:rPr>
          <w:rFonts w:ascii="新細明體" w:eastAsia="新細明體" w:hAnsi="新細明體" w:cs="細明體" w:hint="eastAsia"/>
          <w:szCs w:val="24"/>
        </w:rPr>
        <w:t>應全面調高「低收入在職家庭津貼」入息限額，至不少於工資中位數八成</w:t>
      </w:r>
      <w:r w:rsidRPr="00E64811">
        <w:rPr>
          <w:rFonts w:ascii="新細明體" w:eastAsia="新細明體" w:hAnsi="新細明體" w:cs="細明體" w:hint="eastAsia"/>
          <w:szCs w:val="24"/>
        </w:rPr>
        <w:t>，全面扶助沒有</w:t>
      </w:r>
      <w:proofErr w:type="gramStart"/>
      <w:r w:rsidRPr="00E64811">
        <w:rPr>
          <w:rFonts w:ascii="新細明體" w:eastAsia="新細明體" w:hAnsi="新細明體" w:cs="細明體" w:hint="eastAsia"/>
          <w:szCs w:val="24"/>
        </w:rPr>
        <w:t>領取綜援的</w:t>
      </w:r>
      <w:proofErr w:type="gramEnd"/>
      <w:r w:rsidRPr="00E64811">
        <w:rPr>
          <w:rFonts w:ascii="新細明體" w:eastAsia="新細明體" w:hAnsi="新細明體" w:cs="細明體" w:hint="eastAsia"/>
          <w:szCs w:val="24"/>
        </w:rPr>
        <w:t>低收入勞工。</w:t>
      </w:r>
    </w:p>
    <w:p w:rsidR="00AE1E11" w:rsidRDefault="00AE1E11" w:rsidP="00E10E0B">
      <w:pPr>
        <w:numPr>
          <w:ilvl w:val="0"/>
          <w:numId w:val="2"/>
        </w:numPr>
        <w:spacing w:line="276" w:lineRule="auto"/>
        <w:jc w:val="both"/>
        <w:rPr>
          <w:rFonts w:ascii="新細明體" w:eastAsia="新細明體" w:hAnsi="新細明體" w:cs="細明體"/>
          <w:szCs w:val="24"/>
        </w:rPr>
      </w:pPr>
      <w:r>
        <w:rPr>
          <w:rFonts w:ascii="新細明體" w:eastAsia="新細明體" w:hAnsi="新細明體" w:cs="細明體" w:hint="eastAsia"/>
          <w:szCs w:val="24"/>
        </w:rPr>
        <w:t>政府儘快公佈諮詢報告。</w:t>
      </w:r>
    </w:p>
    <w:p w:rsidR="00D60629" w:rsidRPr="00E64811" w:rsidRDefault="00D60629" w:rsidP="00D60629">
      <w:pPr>
        <w:spacing w:line="276" w:lineRule="auto"/>
        <w:ind w:left="360"/>
        <w:jc w:val="both"/>
        <w:rPr>
          <w:rFonts w:ascii="新細明體" w:eastAsia="新細明體" w:hAnsi="新細明體" w:cs="細明體"/>
          <w:szCs w:val="24"/>
        </w:rPr>
      </w:pPr>
    </w:p>
    <w:p w:rsidR="00AB4FDE" w:rsidRPr="00AC08FC" w:rsidRDefault="00840586" w:rsidP="00AC08FC">
      <w:pPr>
        <w:spacing w:line="276" w:lineRule="auto"/>
        <w:rPr>
          <w:rFonts w:asciiTheme="minorEastAsia" w:hAnsiTheme="minorEastAsia"/>
          <w:szCs w:val="24"/>
          <w:lang w:eastAsia="zh-HK"/>
        </w:rPr>
      </w:pPr>
      <w:r w:rsidRPr="00081A95">
        <w:rPr>
          <w:rFonts w:asciiTheme="minorEastAsia" w:hAnsiTheme="minorEastAsia" w:cs="Times New Roman"/>
          <w:b/>
          <w:szCs w:val="24"/>
        </w:rPr>
        <w:t>香港社區組織協會</w:t>
      </w:r>
      <w:r w:rsidR="001F6A2D">
        <w:rPr>
          <w:rFonts w:asciiTheme="minorEastAsia" w:hAnsiTheme="minorEastAsia" w:cs="Times New Roman" w:hint="eastAsia"/>
          <w:b/>
          <w:szCs w:val="24"/>
        </w:rPr>
        <w:t xml:space="preserve"> </w:t>
      </w:r>
      <w:r w:rsidR="00674100">
        <w:rPr>
          <w:rFonts w:asciiTheme="minorEastAsia" w:hAnsiTheme="minorEastAsia" w:cs="Times New Roman" w:hint="eastAsia"/>
          <w:b/>
          <w:szCs w:val="24"/>
        </w:rPr>
        <w:t xml:space="preserve">  基層勞工關注組   </w:t>
      </w:r>
      <w:r w:rsidR="00AC08FC">
        <w:rPr>
          <w:rFonts w:asciiTheme="minorEastAsia" w:hAnsiTheme="minorEastAsia" w:cs="Times New Roman" w:hint="eastAsia"/>
          <w:b/>
          <w:szCs w:val="24"/>
        </w:rPr>
        <w:t xml:space="preserve">                </w:t>
      </w:r>
      <w:r w:rsidRPr="00081A95">
        <w:rPr>
          <w:rFonts w:asciiTheme="minorEastAsia" w:hAnsiTheme="minorEastAsia" w:cs="Times New Roman"/>
          <w:b/>
          <w:szCs w:val="24"/>
        </w:rPr>
        <w:t>201</w:t>
      </w:r>
      <w:r w:rsidR="00AE1E11">
        <w:rPr>
          <w:rFonts w:asciiTheme="minorEastAsia" w:hAnsiTheme="minorEastAsia" w:cs="Times New Roman" w:hint="eastAsia"/>
          <w:b/>
          <w:szCs w:val="24"/>
        </w:rPr>
        <w:t>6</w:t>
      </w:r>
      <w:r w:rsidRPr="00081A95">
        <w:rPr>
          <w:rFonts w:asciiTheme="minorEastAsia" w:hAnsiTheme="minorEastAsia" w:cs="Times New Roman"/>
          <w:b/>
          <w:szCs w:val="24"/>
        </w:rPr>
        <w:t>年</w:t>
      </w:r>
      <w:r w:rsidR="00AE1E11">
        <w:rPr>
          <w:rFonts w:asciiTheme="minorEastAsia" w:hAnsiTheme="minorEastAsia" w:cs="Times New Roman" w:hint="eastAsia"/>
          <w:b/>
          <w:szCs w:val="24"/>
        </w:rPr>
        <w:t>6</w:t>
      </w:r>
      <w:r w:rsidRPr="00081A95">
        <w:rPr>
          <w:rFonts w:asciiTheme="minorEastAsia" w:hAnsiTheme="minorEastAsia" w:cs="Times New Roman"/>
          <w:b/>
          <w:szCs w:val="24"/>
        </w:rPr>
        <w:t>月</w:t>
      </w:r>
      <w:r w:rsidR="00E549C5">
        <w:rPr>
          <w:rFonts w:asciiTheme="minorEastAsia" w:hAnsiTheme="minorEastAsia" w:cs="Times New Roman" w:hint="eastAsia"/>
          <w:b/>
          <w:szCs w:val="24"/>
        </w:rPr>
        <w:t>2</w:t>
      </w:r>
      <w:r w:rsidR="00AE1E11">
        <w:rPr>
          <w:rFonts w:asciiTheme="minorEastAsia" w:hAnsiTheme="minorEastAsia" w:cs="Times New Roman" w:hint="eastAsia"/>
          <w:b/>
          <w:szCs w:val="24"/>
        </w:rPr>
        <w:t>1</w:t>
      </w:r>
      <w:r w:rsidRPr="00081A95">
        <w:rPr>
          <w:rFonts w:asciiTheme="minorEastAsia" w:hAnsiTheme="minorEastAsia" w:cs="Times New Roman"/>
          <w:b/>
          <w:szCs w:val="24"/>
        </w:rPr>
        <w:t>日</w:t>
      </w:r>
    </w:p>
    <w:sectPr w:rsidR="00AB4FDE" w:rsidRPr="00AC08FC" w:rsidSect="00681A8D">
      <w:pgSz w:w="11906" w:h="16838"/>
      <w:pgMar w:top="1702"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F84" w:rsidRDefault="00DE3F84" w:rsidP="00195019">
      <w:r>
        <w:separator/>
      </w:r>
    </w:p>
  </w:endnote>
  <w:endnote w:type="continuationSeparator" w:id="0">
    <w:p w:rsidR="00DE3F84" w:rsidRDefault="00DE3F84" w:rsidP="0019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儷粗黑">
    <w:altName w:val="Arial Unicode MS"/>
    <w:panose1 w:val="020B0909010101010101"/>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F84" w:rsidRDefault="00DE3F84" w:rsidP="00195019">
      <w:r>
        <w:separator/>
      </w:r>
    </w:p>
  </w:footnote>
  <w:footnote w:type="continuationSeparator" w:id="0">
    <w:p w:rsidR="00DE3F84" w:rsidRDefault="00DE3F84" w:rsidP="00195019">
      <w:r>
        <w:continuationSeparator/>
      </w:r>
    </w:p>
  </w:footnote>
  <w:footnote w:id="1">
    <w:p w:rsidR="00EC224B" w:rsidRDefault="001E0C96">
      <w:pPr>
        <w:pStyle w:val="ab"/>
      </w:pPr>
      <w:r>
        <w:rPr>
          <w:rStyle w:val="ad"/>
        </w:rPr>
        <w:footnoteRef/>
      </w:r>
      <w:r>
        <w:t xml:space="preserve"> </w:t>
      </w:r>
      <w:r w:rsidR="00EC224B" w:rsidRPr="00EC224B">
        <w:rPr>
          <w:rFonts w:hint="eastAsia"/>
        </w:rPr>
        <w:t>2014</w:t>
      </w:r>
      <w:r w:rsidR="00EC224B" w:rsidRPr="00EC224B">
        <w:rPr>
          <w:rFonts w:hint="eastAsia"/>
        </w:rPr>
        <w:t>年香港貧窮情況報告</w:t>
      </w:r>
      <w:r w:rsidR="00EC224B">
        <w:rPr>
          <w:rFonts w:hint="eastAsia"/>
        </w:rPr>
        <w:t xml:space="preserve"> 10/10/2015</w:t>
      </w:r>
    </w:p>
    <w:p w:rsidR="001E0C96" w:rsidRDefault="00EC224B">
      <w:pPr>
        <w:pStyle w:val="ab"/>
      </w:pPr>
      <w:r w:rsidRPr="00EC224B">
        <w:t>http://www.povertyrelief.gov.hk/pdf/poverty_report_2014_c.pdf</w:t>
      </w:r>
    </w:p>
  </w:footnote>
  <w:footnote w:id="2">
    <w:p w:rsidR="006263F4" w:rsidRDefault="006263F4" w:rsidP="006263F4">
      <w:pPr>
        <w:pStyle w:val="ab"/>
      </w:pPr>
      <w:r>
        <w:rPr>
          <w:rStyle w:val="ad"/>
        </w:rPr>
        <w:footnoteRef/>
      </w:r>
      <w:r>
        <w:t xml:space="preserve"> </w:t>
      </w:r>
      <w:r>
        <w:rPr>
          <w:rFonts w:hint="eastAsia"/>
        </w:rPr>
        <w:t>關愛基金援助項目非公屋、</w:t>
      </w:r>
      <w:proofErr w:type="gramStart"/>
      <w:r>
        <w:rPr>
          <w:rFonts w:hint="eastAsia"/>
        </w:rPr>
        <w:t>非綜援</w:t>
      </w:r>
      <w:proofErr w:type="gramEnd"/>
      <w:r>
        <w:rPr>
          <w:rFonts w:hint="eastAsia"/>
        </w:rPr>
        <w:t>的低收入住戶一次過生活津貼成效檢討報告</w:t>
      </w:r>
      <w:r>
        <w:rPr>
          <w:rFonts w:hint="eastAsia"/>
        </w:rPr>
        <w:t xml:space="preserve"> 7/2014</w:t>
      </w:r>
    </w:p>
    <w:p w:rsidR="006263F4" w:rsidRPr="006D1E65" w:rsidRDefault="006263F4" w:rsidP="006263F4">
      <w:pPr>
        <w:pStyle w:val="ab"/>
      </w:pPr>
      <w:r w:rsidRPr="006D1E65">
        <w:t>https://www.communitycarefund.hk/download/oneoff.pdf</w:t>
      </w:r>
    </w:p>
  </w:footnote>
  <w:footnote w:id="3">
    <w:p w:rsidR="006263F4" w:rsidRDefault="006263F4" w:rsidP="006263F4">
      <w:pPr>
        <w:pStyle w:val="ab"/>
      </w:pPr>
      <w:r>
        <w:rPr>
          <w:rStyle w:val="ad"/>
        </w:rPr>
        <w:footnoteRef/>
      </w:r>
      <w:r>
        <w:t xml:space="preserve"> </w:t>
      </w:r>
      <w:r>
        <w:rPr>
          <w:rFonts w:hint="eastAsia"/>
        </w:rPr>
        <w:t>關愛基金援助項目再次推出非公屋、</w:t>
      </w:r>
      <w:proofErr w:type="gramStart"/>
      <w:r>
        <w:rPr>
          <w:rFonts w:hint="eastAsia"/>
        </w:rPr>
        <w:t>非綜援</w:t>
      </w:r>
      <w:proofErr w:type="gramEnd"/>
      <w:r>
        <w:rPr>
          <w:rFonts w:hint="eastAsia"/>
        </w:rPr>
        <w:t>的低收入住戶一次過生活津貼成效檢討報告</w:t>
      </w:r>
      <w:r>
        <w:rPr>
          <w:rFonts w:hint="eastAsia"/>
        </w:rPr>
        <w:t>7/2015</w:t>
      </w:r>
    </w:p>
    <w:p w:rsidR="006263F4" w:rsidRDefault="006263F4" w:rsidP="006263F4">
      <w:pPr>
        <w:pStyle w:val="ab"/>
      </w:pPr>
      <w:r w:rsidRPr="00C20224">
        <w:t>https://www.communitycarefund.hk/download/Relaunched_LSP_chi.pdf</w:t>
      </w:r>
    </w:p>
  </w:footnote>
  <w:footnote w:id="4">
    <w:p w:rsidR="006263F4" w:rsidRDefault="006263F4" w:rsidP="006263F4">
      <w:pPr>
        <w:pStyle w:val="ab"/>
      </w:pPr>
      <w:r>
        <w:rPr>
          <w:rStyle w:val="ad"/>
        </w:rPr>
        <w:footnoteRef/>
      </w:r>
      <w:r>
        <w:t xml:space="preserve"> </w:t>
      </w:r>
      <w:r w:rsidRPr="00032797">
        <w:rPr>
          <w:rFonts w:hint="eastAsia"/>
        </w:rPr>
        <w:t>立法會</w:t>
      </w:r>
      <w:r w:rsidRPr="00032797">
        <w:rPr>
          <w:rFonts w:hint="eastAsia"/>
        </w:rPr>
        <w:t>CB(2)491/13-14(07)</w:t>
      </w:r>
      <w:r w:rsidRPr="00032797">
        <w:rPr>
          <w:rFonts w:hint="eastAsia"/>
        </w:rPr>
        <w:t>號文件</w:t>
      </w:r>
      <w:r>
        <w:rPr>
          <w:rFonts w:hint="eastAsia"/>
        </w:rPr>
        <w:t xml:space="preserve"> 17/12/2013</w:t>
      </w:r>
    </w:p>
  </w:footnote>
  <w:footnote w:id="5">
    <w:p w:rsidR="006263F4" w:rsidRDefault="006263F4" w:rsidP="006263F4">
      <w:pPr>
        <w:pStyle w:val="ab"/>
      </w:pPr>
      <w:r>
        <w:rPr>
          <w:rStyle w:val="ad"/>
        </w:rPr>
        <w:footnoteRef/>
      </w:r>
      <w:r w:rsidRPr="00032797">
        <w:rPr>
          <w:rFonts w:hint="eastAsia"/>
        </w:rPr>
        <w:t>立法會</w:t>
      </w:r>
      <w:r w:rsidRPr="00032797">
        <w:rPr>
          <w:rFonts w:hint="eastAsia"/>
        </w:rPr>
        <w:t>CB(2)798/14-15(05)</w:t>
      </w:r>
      <w:r w:rsidRPr="00032797">
        <w:rPr>
          <w:rFonts w:hint="eastAsia"/>
        </w:rPr>
        <w:t>號文件</w:t>
      </w:r>
      <w:r>
        <w:rPr>
          <w:rFonts w:hint="eastAsia"/>
        </w:rPr>
        <w:t>10/2/2015</w:t>
      </w:r>
    </w:p>
    <w:p w:rsidR="006263F4" w:rsidRDefault="006263F4" w:rsidP="006263F4">
      <w:pPr>
        <w:pStyle w:val="ab"/>
      </w:pPr>
      <w:r w:rsidRPr="00032797">
        <w:t>http://www.legco.gov.hk/yr14-15/chinese/panels/mp/papers/mp20150210cb2-798-5-c.pdf</w:t>
      </w:r>
    </w:p>
  </w:footnote>
  <w:footnote w:id="6">
    <w:p w:rsidR="006A5F41" w:rsidRDefault="006A5F41" w:rsidP="006A5F41">
      <w:pPr>
        <w:pStyle w:val="ab"/>
      </w:pPr>
      <w:r>
        <w:rPr>
          <w:rStyle w:val="ad"/>
        </w:rPr>
        <w:footnoteRef/>
      </w:r>
      <w:r>
        <w:t xml:space="preserve"> </w:t>
      </w:r>
      <w:r w:rsidRPr="00402C3C">
        <w:rPr>
          <w:rFonts w:hint="eastAsia"/>
        </w:rPr>
        <w:t>政府統計處消費物價指數組</w:t>
      </w:r>
      <w:r>
        <w:rPr>
          <w:rFonts w:hint="eastAsia"/>
        </w:rPr>
        <w:t xml:space="preserve"> 23/11/2015</w:t>
      </w:r>
    </w:p>
    <w:p w:rsidR="006A5F41" w:rsidRDefault="006A5F41" w:rsidP="006A5F41">
      <w:pPr>
        <w:pStyle w:val="ab"/>
      </w:pPr>
      <w:r w:rsidRPr="00D5485F">
        <w:t>http://www.censtatd.gov.hk/hkstat/sub/sp270_tc_t.jsp?tableID=052&amp;ID=0&amp;productType=8</w:t>
      </w:r>
    </w:p>
  </w:footnote>
  <w:footnote w:id="7">
    <w:p w:rsidR="005D4968" w:rsidRDefault="005D4968" w:rsidP="005D4968">
      <w:pPr>
        <w:pStyle w:val="ab"/>
        <w:ind w:left="200" w:hangingChars="100" w:hanging="200"/>
      </w:pPr>
      <w:r>
        <w:rPr>
          <w:rStyle w:val="ad"/>
        </w:rPr>
        <w:footnoteRef/>
      </w:r>
      <w:r w:rsidRPr="005D4968">
        <w:rPr>
          <w:rFonts w:hint="eastAsia"/>
        </w:rPr>
        <w:t>立法會</w:t>
      </w:r>
      <w:r w:rsidRPr="005D4968">
        <w:rPr>
          <w:rFonts w:hint="eastAsia"/>
        </w:rPr>
        <w:t>CB(2)798/14-15(06)</w:t>
      </w:r>
      <w:r w:rsidR="00032797" w:rsidRPr="00032797">
        <w:rPr>
          <w:rFonts w:hint="eastAsia"/>
        </w:rPr>
        <w:t xml:space="preserve"> </w:t>
      </w:r>
      <w:r w:rsidR="00032797" w:rsidRPr="00032797">
        <w:rPr>
          <w:rFonts w:hint="eastAsia"/>
        </w:rPr>
        <w:t>文件</w:t>
      </w:r>
      <w:r>
        <w:rPr>
          <w:rFonts w:hint="eastAsia"/>
        </w:rPr>
        <w:t xml:space="preserve"> </w:t>
      </w:r>
      <w:r w:rsidRPr="005D4968">
        <w:t>10/2/2015</w:t>
      </w:r>
    </w:p>
    <w:p w:rsidR="005D4968" w:rsidRPr="005D4968" w:rsidRDefault="005D4968" w:rsidP="005D4968">
      <w:pPr>
        <w:pStyle w:val="ab"/>
        <w:ind w:left="200" w:hangingChars="100" w:hanging="200"/>
      </w:pPr>
      <w:r w:rsidRPr="005D4968">
        <w:t>http://www.legco.gov.hk/yr14-15/chinese/panels/mp/papers/mp20150210cb2-798-6-c.pdf</w:t>
      </w:r>
    </w:p>
  </w:footnote>
  <w:footnote w:id="8">
    <w:p w:rsidR="00937E94" w:rsidRDefault="00937E94">
      <w:pPr>
        <w:pStyle w:val="ab"/>
      </w:pPr>
      <w:r>
        <w:rPr>
          <w:rStyle w:val="ad"/>
        </w:rPr>
        <w:footnoteRef/>
      </w:r>
      <w:r>
        <w:t xml:space="preserve"> </w:t>
      </w:r>
      <w:r w:rsidRPr="00937E94">
        <w:rPr>
          <w:rFonts w:hint="eastAsia"/>
        </w:rPr>
        <w:t>2014</w:t>
      </w:r>
      <w:r w:rsidRPr="00937E94">
        <w:rPr>
          <w:rFonts w:hint="eastAsia"/>
        </w:rPr>
        <w:t>年香港貧窮情況報告</w:t>
      </w:r>
      <w:r>
        <w:rPr>
          <w:rFonts w:hint="eastAsia"/>
        </w:rPr>
        <w:t xml:space="preserve"> 10/10/2015</w:t>
      </w:r>
    </w:p>
    <w:p w:rsidR="00937E94" w:rsidRDefault="00937E94">
      <w:pPr>
        <w:pStyle w:val="ab"/>
      </w:pPr>
      <w:r w:rsidRPr="00937E94">
        <w:t>http://www.povertyrelief.gov.hk/pdf/poverty_report_2014_c.pdf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B6365"/>
    <w:multiLevelType w:val="hybridMultilevel"/>
    <w:tmpl w:val="E362C0D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28377466"/>
    <w:multiLevelType w:val="hybridMultilevel"/>
    <w:tmpl w:val="150CC318"/>
    <w:lvl w:ilvl="0" w:tplc="537878D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4397C63"/>
    <w:multiLevelType w:val="hybridMultilevel"/>
    <w:tmpl w:val="518A6AA6"/>
    <w:lvl w:ilvl="0" w:tplc="A7A85BE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6A56438"/>
    <w:multiLevelType w:val="hybridMultilevel"/>
    <w:tmpl w:val="F8940622"/>
    <w:lvl w:ilvl="0" w:tplc="047075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A8B000D"/>
    <w:multiLevelType w:val="hybridMultilevel"/>
    <w:tmpl w:val="BEA2F358"/>
    <w:lvl w:ilvl="0" w:tplc="C576D77A">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182"/>
    <w:rsid w:val="00013945"/>
    <w:rsid w:val="00016BBE"/>
    <w:rsid w:val="00017163"/>
    <w:rsid w:val="000262FC"/>
    <w:rsid w:val="00032797"/>
    <w:rsid w:val="0003509D"/>
    <w:rsid w:val="00042CEF"/>
    <w:rsid w:val="000477BF"/>
    <w:rsid w:val="00060E01"/>
    <w:rsid w:val="00062D9B"/>
    <w:rsid w:val="00081A95"/>
    <w:rsid w:val="000858F5"/>
    <w:rsid w:val="00096282"/>
    <w:rsid w:val="000A46A5"/>
    <w:rsid w:val="000A5C70"/>
    <w:rsid w:val="000C5DA5"/>
    <w:rsid w:val="000E582A"/>
    <w:rsid w:val="000F00E3"/>
    <w:rsid w:val="000F2B81"/>
    <w:rsid w:val="001040B4"/>
    <w:rsid w:val="00104202"/>
    <w:rsid w:val="00107706"/>
    <w:rsid w:val="00107E03"/>
    <w:rsid w:val="00107E8C"/>
    <w:rsid w:val="00110691"/>
    <w:rsid w:val="001178A6"/>
    <w:rsid w:val="001437E2"/>
    <w:rsid w:val="0015609A"/>
    <w:rsid w:val="00164C28"/>
    <w:rsid w:val="00164F26"/>
    <w:rsid w:val="00172AB7"/>
    <w:rsid w:val="001735FC"/>
    <w:rsid w:val="00175D36"/>
    <w:rsid w:val="00186C57"/>
    <w:rsid w:val="0019138E"/>
    <w:rsid w:val="00194182"/>
    <w:rsid w:val="00195019"/>
    <w:rsid w:val="0019683C"/>
    <w:rsid w:val="001A03B1"/>
    <w:rsid w:val="001B13FD"/>
    <w:rsid w:val="001C0A51"/>
    <w:rsid w:val="001C2C3A"/>
    <w:rsid w:val="001C5011"/>
    <w:rsid w:val="001D069C"/>
    <w:rsid w:val="001D1051"/>
    <w:rsid w:val="001E0C96"/>
    <w:rsid w:val="001E41C1"/>
    <w:rsid w:val="001E707B"/>
    <w:rsid w:val="001F6A2D"/>
    <w:rsid w:val="002050DF"/>
    <w:rsid w:val="00233F85"/>
    <w:rsid w:val="00236B37"/>
    <w:rsid w:val="00242496"/>
    <w:rsid w:val="002433D6"/>
    <w:rsid w:val="00257A20"/>
    <w:rsid w:val="002619EA"/>
    <w:rsid w:val="002815AA"/>
    <w:rsid w:val="002837A2"/>
    <w:rsid w:val="00292B9F"/>
    <w:rsid w:val="002950F7"/>
    <w:rsid w:val="002B38A2"/>
    <w:rsid w:val="002C7245"/>
    <w:rsid w:val="002C7EAC"/>
    <w:rsid w:val="002D1756"/>
    <w:rsid w:val="00303CD9"/>
    <w:rsid w:val="00326299"/>
    <w:rsid w:val="00333493"/>
    <w:rsid w:val="0034325E"/>
    <w:rsid w:val="0037660E"/>
    <w:rsid w:val="003B08A7"/>
    <w:rsid w:val="003C5C08"/>
    <w:rsid w:val="004021CE"/>
    <w:rsid w:val="00402C3C"/>
    <w:rsid w:val="00405B5C"/>
    <w:rsid w:val="004131B6"/>
    <w:rsid w:val="004330A4"/>
    <w:rsid w:val="00434239"/>
    <w:rsid w:val="00434D5B"/>
    <w:rsid w:val="00443C3B"/>
    <w:rsid w:val="00444399"/>
    <w:rsid w:val="00461D6D"/>
    <w:rsid w:val="00465A4D"/>
    <w:rsid w:val="004851CF"/>
    <w:rsid w:val="0049467F"/>
    <w:rsid w:val="004A04B3"/>
    <w:rsid w:val="004A1136"/>
    <w:rsid w:val="004A5EB4"/>
    <w:rsid w:val="004C0D13"/>
    <w:rsid w:val="004D3C01"/>
    <w:rsid w:val="004D6B14"/>
    <w:rsid w:val="004E2A1C"/>
    <w:rsid w:val="004F35DD"/>
    <w:rsid w:val="00500E9A"/>
    <w:rsid w:val="005025D5"/>
    <w:rsid w:val="0052686B"/>
    <w:rsid w:val="00526960"/>
    <w:rsid w:val="0053023D"/>
    <w:rsid w:val="005310BA"/>
    <w:rsid w:val="00541042"/>
    <w:rsid w:val="00543C2F"/>
    <w:rsid w:val="00546BB0"/>
    <w:rsid w:val="00552503"/>
    <w:rsid w:val="00570FBF"/>
    <w:rsid w:val="005A3B83"/>
    <w:rsid w:val="005A68B9"/>
    <w:rsid w:val="005B162E"/>
    <w:rsid w:val="005C62F7"/>
    <w:rsid w:val="005C7D07"/>
    <w:rsid w:val="005D3C55"/>
    <w:rsid w:val="005D4968"/>
    <w:rsid w:val="00605F9D"/>
    <w:rsid w:val="0062169B"/>
    <w:rsid w:val="00622E6F"/>
    <w:rsid w:val="006263F4"/>
    <w:rsid w:val="00632D3C"/>
    <w:rsid w:val="00643154"/>
    <w:rsid w:val="00644D2A"/>
    <w:rsid w:val="00646AFB"/>
    <w:rsid w:val="00654A6E"/>
    <w:rsid w:val="00672066"/>
    <w:rsid w:val="00674100"/>
    <w:rsid w:val="0067465F"/>
    <w:rsid w:val="00681A8D"/>
    <w:rsid w:val="006A222A"/>
    <w:rsid w:val="006A5F41"/>
    <w:rsid w:val="006C0568"/>
    <w:rsid w:val="006C4E09"/>
    <w:rsid w:val="006C6EDF"/>
    <w:rsid w:val="006D1E65"/>
    <w:rsid w:val="006E002E"/>
    <w:rsid w:val="006E2A5B"/>
    <w:rsid w:val="006F340B"/>
    <w:rsid w:val="006F39A4"/>
    <w:rsid w:val="00711DD5"/>
    <w:rsid w:val="00722847"/>
    <w:rsid w:val="0072623B"/>
    <w:rsid w:val="007341B2"/>
    <w:rsid w:val="007347FE"/>
    <w:rsid w:val="00740FAF"/>
    <w:rsid w:val="007468DF"/>
    <w:rsid w:val="00747A57"/>
    <w:rsid w:val="00766E2A"/>
    <w:rsid w:val="00783C67"/>
    <w:rsid w:val="0079163B"/>
    <w:rsid w:val="00796BA4"/>
    <w:rsid w:val="007A3BF0"/>
    <w:rsid w:val="007A5E5A"/>
    <w:rsid w:val="007C669B"/>
    <w:rsid w:val="007E0C98"/>
    <w:rsid w:val="008034B3"/>
    <w:rsid w:val="0080765E"/>
    <w:rsid w:val="0083356F"/>
    <w:rsid w:val="00840586"/>
    <w:rsid w:val="00843328"/>
    <w:rsid w:val="00865A7D"/>
    <w:rsid w:val="00877695"/>
    <w:rsid w:val="00891A60"/>
    <w:rsid w:val="00894905"/>
    <w:rsid w:val="008A3D62"/>
    <w:rsid w:val="008A4D68"/>
    <w:rsid w:val="008A6006"/>
    <w:rsid w:val="008D12F5"/>
    <w:rsid w:val="008E6990"/>
    <w:rsid w:val="008F11E1"/>
    <w:rsid w:val="008F2A35"/>
    <w:rsid w:val="009104C7"/>
    <w:rsid w:val="00921C23"/>
    <w:rsid w:val="0092519A"/>
    <w:rsid w:val="00937E94"/>
    <w:rsid w:val="0094691C"/>
    <w:rsid w:val="00947854"/>
    <w:rsid w:val="00953E9A"/>
    <w:rsid w:val="009615B5"/>
    <w:rsid w:val="00970159"/>
    <w:rsid w:val="009821C9"/>
    <w:rsid w:val="00991062"/>
    <w:rsid w:val="009A5109"/>
    <w:rsid w:val="009A55D8"/>
    <w:rsid w:val="009B1279"/>
    <w:rsid w:val="009B616B"/>
    <w:rsid w:val="009C204C"/>
    <w:rsid w:val="009D21E6"/>
    <w:rsid w:val="009E6E94"/>
    <w:rsid w:val="00A05612"/>
    <w:rsid w:val="00A145D7"/>
    <w:rsid w:val="00A14EE1"/>
    <w:rsid w:val="00A214BB"/>
    <w:rsid w:val="00A27272"/>
    <w:rsid w:val="00A6562E"/>
    <w:rsid w:val="00A9553E"/>
    <w:rsid w:val="00AB4BAC"/>
    <w:rsid w:val="00AB4FDE"/>
    <w:rsid w:val="00AB6EC7"/>
    <w:rsid w:val="00AC08FC"/>
    <w:rsid w:val="00AC1203"/>
    <w:rsid w:val="00AC4B70"/>
    <w:rsid w:val="00AD730F"/>
    <w:rsid w:val="00AE1E11"/>
    <w:rsid w:val="00AE50FF"/>
    <w:rsid w:val="00B21B76"/>
    <w:rsid w:val="00B27732"/>
    <w:rsid w:val="00B445FE"/>
    <w:rsid w:val="00B4727F"/>
    <w:rsid w:val="00B517D4"/>
    <w:rsid w:val="00B55F55"/>
    <w:rsid w:val="00B6006A"/>
    <w:rsid w:val="00B769DC"/>
    <w:rsid w:val="00B93A5C"/>
    <w:rsid w:val="00BA1C0F"/>
    <w:rsid w:val="00BA7BD2"/>
    <w:rsid w:val="00BB71CB"/>
    <w:rsid w:val="00BC1BFB"/>
    <w:rsid w:val="00BC3869"/>
    <w:rsid w:val="00BD0585"/>
    <w:rsid w:val="00BF0E99"/>
    <w:rsid w:val="00C1171A"/>
    <w:rsid w:val="00C12579"/>
    <w:rsid w:val="00C20224"/>
    <w:rsid w:val="00C25301"/>
    <w:rsid w:val="00C36220"/>
    <w:rsid w:val="00C57795"/>
    <w:rsid w:val="00C65170"/>
    <w:rsid w:val="00C749C3"/>
    <w:rsid w:val="00C95C82"/>
    <w:rsid w:val="00CA409B"/>
    <w:rsid w:val="00CA70C3"/>
    <w:rsid w:val="00CB05D7"/>
    <w:rsid w:val="00CB3A6F"/>
    <w:rsid w:val="00CC2F0B"/>
    <w:rsid w:val="00CC5132"/>
    <w:rsid w:val="00CE7EAB"/>
    <w:rsid w:val="00CF2365"/>
    <w:rsid w:val="00D01CA3"/>
    <w:rsid w:val="00D06E82"/>
    <w:rsid w:val="00D16071"/>
    <w:rsid w:val="00D317B1"/>
    <w:rsid w:val="00D32186"/>
    <w:rsid w:val="00D365EA"/>
    <w:rsid w:val="00D406E8"/>
    <w:rsid w:val="00D42B7E"/>
    <w:rsid w:val="00D51AFA"/>
    <w:rsid w:val="00D5485F"/>
    <w:rsid w:val="00D60629"/>
    <w:rsid w:val="00D93331"/>
    <w:rsid w:val="00D962F0"/>
    <w:rsid w:val="00DA2645"/>
    <w:rsid w:val="00DA759A"/>
    <w:rsid w:val="00DE1920"/>
    <w:rsid w:val="00DE3F84"/>
    <w:rsid w:val="00DE4D8D"/>
    <w:rsid w:val="00DF010D"/>
    <w:rsid w:val="00DF379D"/>
    <w:rsid w:val="00E10E0B"/>
    <w:rsid w:val="00E12941"/>
    <w:rsid w:val="00E205B0"/>
    <w:rsid w:val="00E2480F"/>
    <w:rsid w:val="00E3693B"/>
    <w:rsid w:val="00E549C5"/>
    <w:rsid w:val="00E64811"/>
    <w:rsid w:val="00E64CBE"/>
    <w:rsid w:val="00E653D8"/>
    <w:rsid w:val="00E73323"/>
    <w:rsid w:val="00E73637"/>
    <w:rsid w:val="00E7560F"/>
    <w:rsid w:val="00E8330A"/>
    <w:rsid w:val="00E902C6"/>
    <w:rsid w:val="00E946ED"/>
    <w:rsid w:val="00EA4941"/>
    <w:rsid w:val="00EA7F48"/>
    <w:rsid w:val="00EB355E"/>
    <w:rsid w:val="00EC224B"/>
    <w:rsid w:val="00EC4D0F"/>
    <w:rsid w:val="00EE1D73"/>
    <w:rsid w:val="00EF1E78"/>
    <w:rsid w:val="00EF58E3"/>
    <w:rsid w:val="00F006F4"/>
    <w:rsid w:val="00F01393"/>
    <w:rsid w:val="00F1059A"/>
    <w:rsid w:val="00F37546"/>
    <w:rsid w:val="00F41492"/>
    <w:rsid w:val="00F536DA"/>
    <w:rsid w:val="00F82136"/>
    <w:rsid w:val="00F94DE2"/>
    <w:rsid w:val="00FA1694"/>
    <w:rsid w:val="00FA3ED3"/>
    <w:rsid w:val="00FA76A5"/>
    <w:rsid w:val="00FB1542"/>
    <w:rsid w:val="00FC5DA9"/>
    <w:rsid w:val="00FC60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707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E707B"/>
    <w:rPr>
      <w:rFonts w:asciiTheme="majorHAnsi" w:eastAsiaTheme="majorEastAsia" w:hAnsiTheme="majorHAnsi" w:cstheme="majorBidi"/>
      <w:sz w:val="18"/>
      <w:szCs w:val="18"/>
    </w:rPr>
  </w:style>
  <w:style w:type="paragraph" w:styleId="a5">
    <w:name w:val="List Paragraph"/>
    <w:basedOn w:val="a"/>
    <w:uiPriority w:val="34"/>
    <w:qFormat/>
    <w:rsid w:val="00FC5DA9"/>
    <w:pPr>
      <w:ind w:leftChars="200" w:left="480"/>
    </w:pPr>
  </w:style>
  <w:style w:type="paragraph" w:styleId="a6">
    <w:name w:val="header"/>
    <w:basedOn w:val="a"/>
    <w:link w:val="a7"/>
    <w:uiPriority w:val="99"/>
    <w:unhideWhenUsed/>
    <w:rsid w:val="00195019"/>
    <w:pPr>
      <w:tabs>
        <w:tab w:val="center" w:pos="4153"/>
        <w:tab w:val="right" w:pos="8306"/>
      </w:tabs>
      <w:snapToGrid w:val="0"/>
    </w:pPr>
    <w:rPr>
      <w:sz w:val="20"/>
      <w:szCs w:val="20"/>
    </w:rPr>
  </w:style>
  <w:style w:type="character" w:customStyle="1" w:styleId="a7">
    <w:name w:val="頁首 字元"/>
    <w:basedOn w:val="a0"/>
    <w:link w:val="a6"/>
    <w:uiPriority w:val="99"/>
    <w:rsid w:val="00195019"/>
    <w:rPr>
      <w:sz w:val="20"/>
      <w:szCs w:val="20"/>
    </w:rPr>
  </w:style>
  <w:style w:type="paragraph" w:styleId="a8">
    <w:name w:val="footer"/>
    <w:basedOn w:val="a"/>
    <w:link w:val="a9"/>
    <w:uiPriority w:val="99"/>
    <w:unhideWhenUsed/>
    <w:rsid w:val="00195019"/>
    <w:pPr>
      <w:tabs>
        <w:tab w:val="center" w:pos="4153"/>
        <w:tab w:val="right" w:pos="8306"/>
      </w:tabs>
      <w:snapToGrid w:val="0"/>
    </w:pPr>
    <w:rPr>
      <w:sz w:val="20"/>
      <w:szCs w:val="20"/>
    </w:rPr>
  </w:style>
  <w:style w:type="character" w:customStyle="1" w:styleId="a9">
    <w:name w:val="頁尾 字元"/>
    <w:basedOn w:val="a0"/>
    <w:link w:val="a8"/>
    <w:uiPriority w:val="99"/>
    <w:rsid w:val="00195019"/>
    <w:rPr>
      <w:sz w:val="20"/>
      <w:szCs w:val="20"/>
    </w:rPr>
  </w:style>
  <w:style w:type="character" w:styleId="aa">
    <w:name w:val="Hyperlink"/>
    <w:basedOn w:val="a0"/>
    <w:uiPriority w:val="99"/>
    <w:unhideWhenUsed/>
    <w:rsid w:val="002815AA"/>
    <w:rPr>
      <w:color w:val="0000FF" w:themeColor="hyperlink"/>
      <w:u w:val="single"/>
    </w:rPr>
  </w:style>
  <w:style w:type="paragraph" w:styleId="ab">
    <w:name w:val="footnote text"/>
    <w:basedOn w:val="a"/>
    <w:link w:val="ac"/>
    <w:rsid w:val="00646AFB"/>
    <w:pPr>
      <w:snapToGrid w:val="0"/>
    </w:pPr>
    <w:rPr>
      <w:rFonts w:ascii="Times New Roman" w:eastAsia="新細明體" w:hAnsi="Times New Roman" w:cs="Times New Roman"/>
      <w:sz w:val="20"/>
      <w:szCs w:val="20"/>
    </w:rPr>
  </w:style>
  <w:style w:type="character" w:customStyle="1" w:styleId="ac">
    <w:name w:val="註腳文字 字元"/>
    <w:basedOn w:val="a0"/>
    <w:link w:val="ab"/>
    <w:rsid w:val="00646AFB"/>
    <w:rPr>
      <w:rFonts w:ascii="Times New Roman" w:eastAsia="新細明體" w:hAnsi="Times New Roman" w:cs="Times New Roman"/>
      <w:sz w:val="20"/>
      <w:szCs w:val="20"/>
    </w:rPr>
  </w:style>
  <w:style w:type="character" w:styleId="ad">
    <w:name w:val="footnote reference"/>
    <w:rsid w:val="00646AFB"/>
    <w:rPr>
      <w:vertAlign w:val="superscript"/>
    </w:rPr>
  </w:style>
  <w:style w:type="table" w:styleId="2">
    <w:name w:val="Medium Shading 2"/>
    <w:basedOn w:val="a1"/>
    <w:uiPriority w:val="64"/>
    <w:rsid w:val="00605F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Light List Accent 1"/>
    <w:basedOn w:val="a1"/>
    <w:uiPriority w:val="61"/>
    <w:rsid w:val="00605F9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e">
    <w:name w:val="Table Grid"/>
    <w:basedOn w:val="a1"/>
    <w:uiPriority w:val="59"/>
    <w:rsid w:val="00CA4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Medium List 1 Accent 6"/>
    <w:basedOn w:val="a1"/>
    <w:uiPriority w:val="65"/>
    <w:rsid w:val="00CA409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
    <w:name w:val="Light Shading Accent 2"/>
    <w:basedOn w:val="a1"/>
    <w:uiPriority w:val="60"/>
    <w:rsid w:val="00402C3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5">
    <w:name w:val="Light Shading Accent 5"/>
    <w:basedOn w:val="a1"/>
    <w:uiPriority w:val="60"/>
    <w:rsid w:val="00402C3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D3">
    <w:name w:val="Table 3D effects 3"/>
    <w:basedOn w:val="a1"/>
    <w:rsid w:val="003C5C08"/>
    <w:rPr>
      <w:rFonts w:ascii="Times New Roman" w:eastAsia="新細明體" w:hAnsi="Times New Roman" w:cs="Times New Roman"/>
      <w:kern w:val="0"/>
      <w:sz w:val="20"/>
      <w:szCs w:val="20"/>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707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E707B"/>
    <w:rPr>
      <w:rFonts w:asciiTheme="majorHAnsi" w:eastAsiaTheme="majorEastAsia" w:hAnsiTheme="majorHAnsi" w:cstheme="majorBidi"/>
      <w:sz w:val="18"/>
      <w:szCs w:val="18"/>
    </w:rPr>
  </w:style>
  <w:style w:type="paragraph" w:styleId="a5">
    <w:name w:val="List Paragraph"/>
    <w:basedOn w:val="a"/>
    <w:uiPriority w:val="34"/>
    <w:qFormat/>
    <w:rsid w:val="00FC5DA9"/>
    <w:pPr>
      <w:ind w:leftChars="200" w:left="480"/>
    </w:pPr>
  </w:style>
  <w:style w:type="paragraph" w:styleId="a6">
    <w:name w:val="header"/>
    <w:basedOn w:val="a"/>
    <w:link w:val="a7"/>
    <w:uiPriority w:val="99"/>
    <w:unhideWhenUsed/>
    <w:rsid w:val="00195019"/>
    <w:pPr>
      <w:tabs>
        <w:tab w:val="center" w:pos="4153"/>
        <w:tab w:val="right" w:pos="8306"/>
      </w:tabs>
      <w:snapToGrid w:val="0"/>
    </w:pPr>
    <w:rPr>
      <w:sz w:val="20"/>
      <w:szCs w:val="20"/>
    </w:rPr>
  </w:style>
  <w:style w:type="character" w:customStyle="1" w:styleId="a7">
    <w:name w:val="頁首 字元"/>
    <w:basedOn w:val="a0"/>
    <w:link w:val="a6"/>
    <w:uiPriority w:val="99"/>
    <w:rsid w:val="00195019"/>
    <w:rPr>
      <w:sz w:val="20"/>
      <w:szCs w:val="20"/>
    </w:rPr>
  </w:style>
  <w:style w:type="paragraph" w:styleId="a8">
    <w:name w:val="footer"/>
    <w:basedOn w:val="a"/>
    <w:link w:val="a9"/>
    <w:uiPriority w:val="99"/>
    <w:unhideWhenUsed/>
    <w:rsid w:val="00195019"/>
    <w:pPr>
      <w:tabs>
        <w:tab w:val="center" w:pos="4153"/>
        <w:tab w:val="right" w:pos="8306"/>
      </w:tabs>
      <w:snapToGrid w:val="0"/>
    </w:pPr>
    <w:rPr>
      <w:sz w:val="20"/>
      <w:szCs w:val="20"/>
    </w:rPr>
  </w:style>
  <w:style w:type="character" w:customStyle="1" w:styleId="a9">
    <w:name w:val="頁尾 字元"/>
    <w:basedOn w:val="a0"/>
    <w:link w:val="a8"/>
    <w:uiPriority w:val="99"/>
    <w:rsid w:val="00195019"/>
    <w:rPr>
      <w:sz w:val="20"/>
      <w:szCs w:val="20"/>
    </w:rPr>
  </w:style>
  <w:style w:type="character" w:styleId="aa">
    <w:name w:val="Hyperlink"/>
    <w:basedOn w:val="a0"/>
    <w:uiPriority w:val="99"/>
    <w:unhideWhenUsed/>
    <w:rsid w:val="002815AA"/>
    <w:rPr>
      <w:color w:val="0000FF" w:themeColor="hyperlink"/>
      <w:u w:val="single"/>
    </w:rPr>
  </w:style>
  <w:style w:type="paragraph" w:styleId="ab">
    <w:name w:val="footnote text"/>
    <w:basedOn w:val="a"/>
    <w:link w:val="ac"/>
    <w:rsid w:val="00646AFB"/>
    <w:pPr>
      <w:snapToGrid w:val="0"/>
    </w:pPr>
    <w:rPr>
      <w:rFonts w:ascii="Times New Roman" w:eastAsia="新細明體" w:hAnsi="Times New Roman" w:cs="Times New Roman"/>
      <w:sz w:val="20"/>
      <w:szCs w:val="20"/>
    </w:rPr>
  </w:style>
  <w:style w:type="character" w:customStyle="1" w:styleId="ac">
    <w:name w:val="註腳文字 字元"/>
    <w:basedOn w:val="a0"/>
    <w:link w:val="ab"/>
    <w:rsid w:val="00646AFB"/>
    <w:rPr>
      <w:rFonts w:ascii="Times New Roman" w:eastAsia="新細明體" w:hAnsi="Times New Roman" w:cs="Times New Roman"/>
      <w:sz w:val="20"/>
      <w:szCs w:val="20"/>
    </w:rPr>
  </w:style>
  <w:style w:type="character" w:styleId="ad">
    <w:name w:val="footnote reference"/>
    <w:rsid w:val="00646AFB"/>
    <w:rPr>
      <w:vertAlign w:val="superscript"/>
    </w:rPr>
  </w:style>
  <w:style w:type="table" w:styleId="2">
    <w:name w:val="Medium Shading 2"/>
    <w:basedOn w:val="a1"/>
    <w:uiPriority w:val="64"/>
    <w:rsid w:val="00605F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Light List Accent 1"/>
    <w:basedOn w:val="a1"/>
    <w:uiPriority w:val="61"/>
    <w:rsid w:val="00605F9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e">
    <w:name w:val="Table Grid"/>
    <w:basedOn w:val="a1"/>
    <w:uiPriority w:val="59"/>
    <w:rsid w:val="00CA4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Medium List 1 Accent 6"/>
    <w:basedOn w:val="a1"/>
    <w:uiPriority w:val="65"/>
    <w:rsid w:val="00CA409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
    <w:name w:val="Light Shading Accent 2"/>
    <w:basedOn w:val="a1"/>
    <w:uiPriority w:val="60"/>
    <w:rsid w:val="00402C3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5">
    <w:name w:val="Light Shading Accent 5"/>
    <w:basedOn w:val="a1"/>
    <w:uiPriority w:val="60"/>
    <w:rsid w:val="00402C3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D3">
    <w:name w:val="Table 3D effects 3"/>
    <w:basedOn w:val="a1"/>
    <w:rsid w:val="003C5C08"/>
    <w:rPr>
      <w:rFonts w:ascii="Times New Roman" w:eastAsia="新細明體" w:hAnsi="Times New Roman" w:cs="Times New Roman"/>
      <w:kern w:val="0"/>
      <w:sz w:val="20"/>
      <w:szCs w:val="20"/>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15591">
      <w:bodyDiv w:val="1"/>
      <w:marLeft w:val="0"/>
      <w:marRight w:val="0"/>
      <w:marTop w:val="0"/>
      <w:marBottom w:val="0"/>
      <w:divBdr>
        <w:top w:val="none" w:sz="0" w:space="0" w:color="auto"/>
        <w:left w:val="none" w:sz="0" w:space="0" w:color="auto"/>
        <w:bottom w:val="none" w:sz="0" w:space="0" w:color="auto"/>
        <w:right w:val="none" w:sz="0" w:space="0" w:color="auto"/>
      </w:divBdr>
    </w:div>
    <w:div w:id="561526339">
      <w:bodyDiv w:val="1"/>
      <w:marLeft w:val="0"/>
      <w:marRight w:val="0"/>
      <w:marTop w:val="0"/>
      <w:marBottom w:val="0"/>
      <w:divBdr>
        <w:top w:val="none" w:sz="0" w:space="0" w:color="auto"/>
        <w:left w:val="none" w:sz="0" w:space="0" w:color="auto"/>
        <w:bottom w:val="none" w:sz="0" w:space="0" w:color="auto"/>
        <w:right w:val="none" w:sz="0" w:space="0" w:color="auto"/>
      </w:divBdr>
    </w:div>
    <w:div w:id="750472916">
      <w:bodyDiv w:val="1"/>
      <w:marLeft w:val="0"/>
      <w:marRight w:val="0"/>
      <w:marTop w:val="0"/>
      <w:marBottom w:val="0"/>
      <w:divBdr>
        <w:top w:val="none" w:sz="0" w:space="0" w:color="auto"/>
        <w:left w:val="none" w:sz="0" w:space="0" w:color="auto"/>
        <w:bottom w:val="none" w:sz="0" w:space="0" w:color="auto"/>
        <w:right w:val="none" w:sz="0" w:space="0" w:color="auto"/>
      </w:divBdr>
    </w:div>
    <w:div w:id="877006900">
      <w:bodyDiv w:val="1"/>
      <w:marLeft w:val="0"/>
      <w:marRight w:val="0"/>
      <w:marTop w:val="0"/>
      <w:marBottom w:val="0"/>
      <w:divBdr>
        <w:top w:val="none" w:sz="0" w:space="0" w:color="auto"/>
        <w:left w:val="none" w:sz="0" w:space="0" w:color="auto"/>
        <w:bottom w:val="none" w:sz="0" w:space="0" w:color="auto"/>
        <w:right w:val="none" w:sz="0" w:space="0" w:color="auto"/>
      </w:divBdr>
    </w:div>
    <w:div w:id="1037193483">
      <w:bodyDiv w:val="1"/>
      <w:marLeft w:val="0"/>
      <w:marRight w:val="0"/>
      <w:marTop w:val="0"/>
      <w:marBottom w:val="0"/>
      <w:divBdr>
        <w:top w:val="none" w:sz="0" w:space="0" w:color="auto"/>
        <w:left w:val="none" w:sz="0" w:space="0" w:color="auto"/>
        <w:bottom w:val="none" w:sz="0" w:space="0" w:color="auto"/>
        <w:right w:val="none" w:sz="0" w:space="0" w:color="auto"/>
      </w:divBdr>
    </w:div>
    <w:div w:id="196341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22294;&#349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H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2007-2014</a:t>
            </a:r>
            <a:r>
              <a:rPr lang="zh-TW"/>
              <a:t> 九巴及港鐵價格升幅</a:t>
            </a:r>
            <a:endParaRPr lang="zh-HK"/>
          </a:p>
        </c:rich>
      </c:tx>
      <c:layout>
        <c:manualLayout>
          <c:xMode val="edge"/>
          <c:yMode val="edge"/>
          <c:x val="0.18984181570695721"/>
          <c:y val="2.8213941063761374E-2"/>
        </c:manualLayout>
      </c:layout>
      <c:overlay val="0"/>
    </c:title>
    <c:autoTitleDeleted val="0"/>
    <c:plotArea>
      <c:layout/>
      <c:lineChart>
        <c:grouping val="standard"/>
        <c:varyColors val="0"/>
        <c:ser>
          <c:idx val="0"/>
          <c:order val="0"/>
          <c:tx>
            <c:v>九龍巴士</c:v>
          </c:tx>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工作表1!$A$51:$A$57</c:f>
              <c:numCache>
                <c:formatCode>General</c:formatCode>
                <c:ptCount val="7"/>
                <c:pt idx="0">
                  <c:v>2008</c:v>
                </c:pt>
                <c:pt idx="1">
                  <c:v>2009</c:v>
                </c:pt>
                <c:pt idx="2">
                  <c:v>2010</c:v>
                </c:pt>
                <c:pt idx="3">
                  <c:v>2011</c:v>
                </c:pt>
                <c:pt idx="4">
                  <c:v>2012</c:v>
                </c:pt>
                <c:pt idx="5">
                  <c:v>2013</c:v>
                </c:pt>
                <c:pt idx="6">
                  <c:v>2014</c:v>
                </c:pt>
              </c:numCache>
            </c:numRef>
          </c:cat>
          <c:val>
            <c:numRef>
              <c:f>工作表1!$B$51:$B$57</c:f>
              <c:numCache>
                <c:formatCode>General</c:formatCode>
                <c:ptCount val="7"/>
                <c:pt idx="0">
                  <c:v>4.5000000000000012E-2</c:v>
                </c:pt>
                <c:pt idx="1">
                  <c:v>0</c:v>
                </c:pt>
                <c:pt idx="2">
                  <c:v>0</c:v>
                </c:pt>
                <c:pt idx="3">
                  <c:v>3.5999999999999997E-2</c:v>
                </c:pt>
                <c:pt idx="4">
                  <c:v>0</c:v>
                </c:pt>
                <c:pt idx="5">
                  <c:v>4.9000000000000037E-2</c:v>
                </c:pt>
                <c:pt idx="6">
                  <c:v>3.9000000000000014E-2</c:v>
                </c:pt>
              </c:numCache>
            </c:numRef>
          </c:val>
          <c:smooth val="0"/>
        </c:ser>
        <c:ser>
          <c:idx val="1"/>
          <c:order val="1"/>
          <c:tx>
            <c:v>港鐵</c:v>
          </c:tx>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工作表1!$A$51:$A$57</c:f>
              <c:numCache>
                <c:formatCode>General</c:formatCode>
                <c:ptCount val="7"/>
                <c:pt idx="0">
                  <c:v>2008</c:v>
                </c:pt>
                <c:pt idx="1">
                  <c:v>2009</c:v>
                </c:pt>
                <c:pt idx="2">
                  <c:v>2010</c:v>
                </c:pt>
                <c:pt idx="3">
                  <c:v>2011</c:v>
                </c:pt>
                <c:pt idx="4">
                  <c:v>2012</c:v>
                </c:pt>
                <c:pt idx="5">
                  <c:v>2013</c:v>
                </c:pt>
                <c:pt idx="6">
                  <c:v>2014</c:v>
                </c:pt>
              </c:numCache>
            </c:numRef>
          </c:cat>
          <c:val>
            <c:numRef>
              <c:f>工作表1!$C$51:$C$57</c:f>
              <c:numCache>
                <c:formatCode>General</c:formatCode>
                <c:ptCount val="7"/>
                <c:pt idx="0">
                  <c:v>0</c:v>
                </c:pt>
                <c:pt idx="1">
                  <c:v>0</c:v>
                </c:pt>
                <c:pt idx="2">
                  <c:v>2.0500000000000001E-2</c:v>
                </c:pt>
                <c:pt idx="3">
                  <c:v>2.1999999999999999E-2</c:v>
                </c:pt>
                <c:pt idx="4">
                  <c:v>5.3999999999999999E-2</c:v>
                </c:pt>
                <c:pt idx="5">
                  <c:v>2.7000000000000017E-2</c:v>
                </c:pt>
                <c:pt idx="6">
                  <c:v>3.5999999999999997E-2</c:v>
                </c:pt>
              </c:numCache>
            </c:numRef>
          </c:val>
          <c:smooth val="0"/>
        </c:ser>
        <c:dLbls>
          <c:showLegendKey val="0"/>
          <c:showVal val="1"/>
          <c:showCatName val="0"/>
          <c:showSerName val="0"/>
          <c:showPercent val="0"/>
          <c:showBubbleSize val="0"/>
        </c:dLbls>
        <c:marker val="1"/>
        <c:smooth val="0"/>
        <c:axId val="55488512"/>
        <c:axId val="55490048"/>
      </c:lineChart>
      <c:catAx>
        <c:axId val="55488512"/>
        <c:scaling>
          <c:orientation val="minMax"/>
        </c:scaling>
        <c:delete val="0"/>
        <c:axPos val="b"/>
        <c:numFmt formatCode="General" sourceLinked="1"/>
        <c:majorTickMark val="none"/>
        <c:minorTickMark val="none"/>
        <c:tickLblPos val="nextTo"/>
        <c:crossAx val="55490048"/>
        <c:crosses val="autoZero"/>
        <c:auto val="1"/>
        <c:lblAlgn val="ctr"/>
        <c:lblOffset val="100"/>
        <c:noMultiLvlLbl val="0"/>
      </c:catAx>
      <c:valAx>
        <c:axId val="55490048"/>
        <c:scaling>
          <c:orientation val="minMax"/>
        </c:scaling>
        <c:delete val="0"/>
        <c:axPos val="l"/>
        <c:majorGridlines/>
        <c:numFmt formatCode="General" sourceLinked="1"/>
        <c:majorTickMark val="none"/>
        <c:minorTickMark val="none"/>
        <c:tickLblPos val="nextTo"/>
        <c:crossAx val="55488512"/>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zh-HK"/>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6E53C-BDDD-4D3B-9118-A399634F9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451</Words>
  <Characters>2577</Characters>
  <Application>Microsoft Office Word</Application>
  <DocSecurity>0</DocSecurity>
  <Lines>21</Lines>
  <Paragraphs>6</Paragraphs>
  <ScaleCrop>false</ScaleCrop>
  <Company>Hewlett-Packard Company</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Yuen</cp:lastModifiedBy>
  <cp:revision>14</cp:revision>
  <cp:lastPrinted>2015-12-29T12:00:00Z</cp:lastPrinted>
  <dcterms:created xsi:type="dcterms:W3CDTF">2016-06-20T04:01:00Z</dcterms:created>
  <dcterms:modified xsi:type="dcterms:W3CDTF">2016-06-20T04:05:00Z</dcterms:modified>
</cp:coreProperties>
</file>